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71AADC7">
      <w:pPr>
        <w:jc w:val="center"/>
        <w:rPr>
          <w:b/>
          <w:sz w:val="44"/>
          <w:szCs w:val="44"/>
        </w:rPr>
      </w:pPr>
    </w:p>
    <w:p w14:paraId="65897552">
      <w:pPr>
        <w:jc w:val="center"/>
        <w:rPr>
          <w:b/>
          <w:sz w:val="44"/>
          <w:szCs w:val="44"/>
        </w:rPr>
      </w:pPr>
    </w:p>
    <w:p w14:paraId="6566B64F">
      <w:pPr>
        <w:jc w:val="center"/>
        <w:rPr>
          <w:b/>
          <w:sz w:val="44"/>
          <w:szCs w:val="44"/>
        </w:rPr>
      </w:pPr>
      <w:r>
        <w:rPr>
          <w:b/>
          <w:sz w:val="44"/>
          <w:szCs w:val="44"/>
        </w:rPr>
        <w:t>中国建筑材料协会标准</w:t>
      </w:r>
    </w:p>
    <w:p w14:paraId="306CE7A4">
      <w:pPr>
        <w:jc w:val="center"/>
        <w:rPr>
          <w:b/>
          <w:sz w:val="36"/>
          <w:szCs w:val="36"/>
        </w:rPr>
      </w:pPr>
      <w:r>
        <w:rPr>
          <w:b/>
          <w:sz w:val="36"/>
          <w:szCs w:val="36"/>
        </w:rPr>
        <w:t>《</w:t>
      </w:r>
      <w:r>
        <w:rPr>
          <w:rFonts w:hint="eastAsia"/>
          <w:b/>
          <w:sz w:val="36"/>
          <w:szCs w:val="36"/>
        </w:rPr>
        <w:t>用于水泥和混凝土中的物理改性粉煤灰</w:t>
      </w:r>
      <w:r>
        <w:rPr>
          <w:b/>
          <w:sz w:val="36"/>
          <w:szCs w:val="36"/>
        </w:rPr>
        <w:t>》</w:t>
      </w:r>
    </w:p>
    <w:p w14:paraId="5CFF4A7B">
      <w:pPr>
        <w:jc w:val="center"/>
      </w:pPr>
    </w:p>
    <w:p w14:paraId="48D92A99">
      <w:pPr>
        <w:jc w:val="center"/>
      </w:pPr>
    </w:p>
    <w:p w14:paraId="4E440839">
      <w:pPr>
        <w:jc w:val="center"/>
        <w:rPr>
          <w:b/>
          <w:sz w:val="36"/>
          <w:szCs w:val="36"/>
        </w:rPr>
      </w:pPr>
      <w:r>
        <w:rPr>
          <w:b/>
          <w:sz w:val="36"/>
          <w:szCs w:val="36"/>
        </w:rPr>
        <w:t>编制说明</w:t>
      </w:r>
    </w:p>
    <w:p w14:paraId="22FC47FA">
      <w:pPr>
        <w:jc w:val="center"/>
      </w:pPr>
    </w:p>
    <w:p w14:paraId="4362106C">
      <w:pPr>
        <w:jc w:val="center"/>
      </w:pPr>
    </w:p>
    <w:p w14:paraId="241CC778">
      <w:pPr>
        <w:jc w:val="center"/>
      </w:pPr>
    </w:p>
    <w:p w14:paraId="7F1CFDF6">
      <w:pPr>
        <w:jc w:val="left"/>
      </w:pPr>
      <w:r>
        <w:t xml:space="preserve"> </w:t>
      </w:r>
    </w:p>
    <w:p w14:paraId="1647CF7D">
      <w:pPr>
        <w:jc w:val="left"/>
      </w:pPr>
      <w:r>
        <w:t xml:space="preserve"> </w:t>
      </w:r>
    </w:p>
    <w:p w14:paraId="5BEFB178">
      <w:pPr>
        <w:jc w:val="left"/>
      </w:pPr>
      <w:r>
        <w:t xml:space="preserve"> </w:t>
      </w:r>
    </w:p>
    <w:p w14:paraId="1578383D">
      <w:pPr>
        <w:jc w:val="left"/>
      </w:pPr>
      <w:r>
        <w:t xml:space="preserve"> </w:t>
      </w:r>
    </w:p>
    <w:p w14:paraId="4012485D">
      <w:pPr>
        <w:jc w:val="left"/>
      </w:pPr>
      <w:r>
        <w:t xml:space="preserve"> </w:t>
      </w:r>
    </w:p>
    <w:p w14:paraId="186EE736">
      <w:pPr>
        <w:jc w:val="left"/>
      </w:pPr>
      <w:r>
        <w:t xml:space="preserve"> </w:t>
      </w:r>
    </w:p>
    <w:p w14:paraId="71A8CAC5">
      <w:pPr>
        <w:jc w:val="left"/>
      </w:pPr>
      <w:r>
        <w:t xml:space="preserve"> </w:t>
      </w:r>
    </w:p>
    <w:p w14:paraId="7377E4B2">
      <w:pPr>
        <w:jc w:val="left"/>
      </w:pPr>
      <w:r>
        <w:t xml:space="preserve"> </w:t>
      </w:r>
    </w:p>
    <w:p w14:paraId="598D67B0">
      <w:pPr>
        <w:jc w:val="left"/>
      </w:pPr>
      <w:r>
        <w:t xml:space="preserve"> </w:t>
      </w:r>
    </w:p>
    <w:p w14:paraId="20CFC1DA">
      <w:pPr>
        <w:jc w:val="left"/>
      </w:pPr>
      <w:r>
        <w:t xml:space="preserve"> </w:t>
      </w:r>
    </w:p>
    <w:p w14:paraId="5D4C85C9">
      <w:pPr>
        <w:jc w:val="left"/>
      </w:pPr>
      <w:r>
        <w:t xml:space="preserve"> </w:t>
      </w:r>
    </w:p>
    <w:p w14:paraId="5BB555B2">
      <w:pPr>
        <w:jc w:val="center"/>
        <w:rPr>
          <w:b/>
          <w:sz w:val="28"/>
          <w:szCs w:val="28"/>
        </w:rPr>
      </w:pPr>
      <w:r>
        <w:rPr>
          <w:b/>
          <w:sz w:val="28"/>
          <w:szCs w:val="28"/>
        </w:rPr>
        <w:t>标准编制工作组</w:t>
      </w:r>
    </w:p>
    <w:p w14:paraId="56A57A29">
      <w:pPr>
        <w:jc w:val="center"/>
        <w:rPr>
          <w:b/>
          <w:sz w:val="28"/>
          <w:szCs w:val="28"/>
        </w:rPr>
      </w:pPr>
      <w:r>
        <w:rPr>
          <w:rFonts w:hint="eastAsia"/>
          <w:b/>
          <w:sz w:val="28"/>
          <w:szCs w:val="28"/>
        </w:rPr>
        <w:t>厦门艾思欧标准砂有限公司</w:t>
      </w:r>
    </w:p>
    <w:p w14:paraId="254C5156">
      <w:pPr>
        <w:jc w:val="center"/>
        <w:rPr>
          <w:b/>
          <w:sz w:val="28"/>
          <w:szCs w:val="28"/>
        </w:rPr>
      </w:pPr>
      <w:r>
        <w:rPr>
          <w:b/>
          <w:sz w:val="28"/>
          <w:szCs w:val="28"/>
        </w:rPr>
        <w:t>202</w:t>
      </w:r>
      <w:r>
        <w:rPr>
          <w:rFonts w:hint="eastAsia"/>
          <w:b/>
          <w:sz w:val="28"/>
          <w:szCs w:val="28"/>
        </w:rPr>
        <w:t>6</w:t>
      </w:r>
      <w:r>
        <w:rPr>
          <w:b/>
          <w:sz w:val="28"/>
          <w:szCs w:val="28"/>
        </w:rPr>
        <w:t>年</w:t>
      </w:r>
      <w:r>
        <w:rPr>
          <w:rFonts w:hint="eastAsia"/>
          <w:b/>
          <w:sz w:val="28"/>
          <w:szCs w:val="28"/>
        </w:rPr>
        <w:t>5</w:t>
      </w:r>
      <w:r>
        <w:rPr>
          <w:b/>
          <w:sz w:val="28"/>
          <w:szCs w:val="28"/>
        </w:rPr>
        <w:t>月</w:t>
      </w:r>
    </w:p>
    <w:p w14:paraId="7BD90CEE">
      <w:pPr>
        <w:rPr>
          <w:sz w:val="28"/>
          <w:szCs w:val="28"/>
        </w:rPr>
      </w:pPr>
      <w:r>
        <w:rPr>
          <w:sz w:val="28"/>
          <w:szCs w:val="28"/>
        </w:rPr>
        <w:t xml:space="preserve"> </w:t>
      </w:r>
    </w:p>
    <w:p w14:paraId="50D20B9C">
      <w:pPr>
        <w:rPr>
          <w:sz w:val="28"/>
          <w:szCs w:val="28"/>
        </w:rPr>
        <w:sectPr>
          <w:pgSz w:w="12240" w:h="15840"/>
          <w:pgMar w:top="1440" w:right="1800" w:bottom="1440" w:left="1800" w:header="720" w:footer="720" w:gutter="0"/>
          <w:cols w:space="720" w:num="1"/>
        </w:sectPr>
      </w:pPr>
    </w:p>
    <w:p w14:paraId="2752FCF7">
      <w:pPr>
        <w:pStyle w:val="37"/>
        <w:numPr>
          <w:ilvl w:val="0"/>
          <w:numId w:val="1"/>
        </w:numPr>
        <w:ind w:firstLine="482" w:firstLineChars="200"/>
        <w:outlineLvl w:val="0"/>
        <w:rPr>
          <w:b/>
          <w:bCs/>
        </w:rPr>
      </w:pPr>
      <w:r>
        <w:rPr>
          <w:rFonts w:hint="eastAsia"/>
          <w:b/>
          <w:bCs/>
        </w:rPr>
        <w:t>工作简况</w:t>
      </w:r>
    </w:p>
    <w:p w14:paraId="22F4C8E9">
      <w:pPr>
        <w:pStyle w:val="37"/>
        <w:numPr>
          <w:ilvl w:val="1"/>
          <w:numId w:val="2"/>
        </w:numPr>
        <w:ind w:firstLine="482" w:firstLineChars="200"/>
        <w:outlineLvl w:val="1"/>
        <w:rPr>
          <w:b/>
          <w:bCs/>
        </w:rPr>
      </w:pPr>
      <w:r>
        <w:rPr>
          <w:rFonts w:hint="eastAsia"/>
          <w:b/>
          <w:bCs/>
        </w:rPr>
        <w:t>任务来源</w:t>
      </w:r>
    </w:p>
    <w:p w14:paraId="0B69A5F1">
      <w:pPr>
        <w:pStyle w:val="37"/>
        <w:ind w:left="0" w:firstLine="480" w:firstLineChars="200"/>
      </w:pPr>
      <w:r>
        <w:t>根据中国建筑材料联合会《关于下达2025年第三批协会标准制修订计划的通知》（中建材联标发[2025] 52号）文件，《用于水泥和混凝土中的物理改性粉煤灰》协会标准被批准立项，计划号2025-18-xbjh，由厦门艾思欧标准砂有限公司负责组织标准编制工作。</w:t>
      </w:r>
    </w:p>
    <w:p w14:paraId="3AEE2B11">
      <w:pPr>
        <w:pStyle w:val="37"/>
        <w:numPr>
          <w:ilvl w:val="1"/>
          <w:numId w:val="2"/>
        </w:numPr>
        <w:ind w:firstLine="482" w:firstLineChars="200"/>
        <w:outlineLvl w:val="1"/>
        <w:rPr>
          <w:b/>
          <w:bCs/>
        </w:rPr>
      </w:pPr>
      <w:r>
        <w:rPr>
          <w:rFonts w:hint="eastAsia"/>
          <w:b/>
          <w:bCs/>
        </w:rPr>
        <w:t>制定目的</w:t>
      </w:r>
    </w:p>
    <w:p w14:paraId="27E26FF0">
      <w:pPr>
        <w:pStyle w:val="37"/>
        <w:widowControl w:val="0"/>
        <w:ind w:left="0" w:firstLine="480" w:firstLineChars="200"/>
      </w:pPr>
      <w:r>
        <w:rPr>
          <w:rFonts w:hint="eastAsia"/>
        </w:rPr>
        <w:t>粉煤灰是燃煤电厂煤粉炉烟道中收集的粉末，广泛运用于水泥混凝土等建筑材料中，是重要工业固废之一。近几年，随着我国电力事业的发展和国家环保要求的日益严格，燃煤电厂脱硫和脱硝工艺普遍实施，产生了一定量的脱硫粉煤灰和脱硝粉煤灰，还有循环流化床锅炉燃烧产生的固硫灰（渣）等，造成粉煤灰的品质、排放量和排放种类发生了变化，其中有部分电厂大量收集的粉煤灰为原状粗灰，其品质如细度和活性均未达到国家标准要求，性能远低于标准要求的I级和II级粉煤灰品质，无法直接用于水泥混凝土工程，因此需要通过科学研究和适当工艺进行加工处理，提高其利用率。</w:t>
      </w:r>
    </w:p>
    <w:p w14:paraId="0BA8B65D">
      <w:pPr>
        <w:pStyle w:val="37"/>
        <w:ind w:left="0" w:firstLine="480" w:firstLineChars="200"/>
      </w:pPr>
      <w:r>
        <w:rPr>
          <w:rFonts w:hint="eastAsia"/>
        </w:rPr>
        <w:t>目前，对原灰粉煤灰进行改性处理的主要方法包括机械活化、化学激发等。其中，机械活化通常通过颗粒的物理研磨来实现。球磨机是目前最常用的粉磨设备，广泛应用于粉煤灰原灰的粉磨加工。但球磨机内研磨体随衬板上升到一定高度后被抛落，在下落过程中撞击物料实现粉煤灰破碎的研磨方式，会大量破坏粉煤灰的玻璃微球结构。此外，球磨机工作过程噪声较大、能量利用率仅4%-5%，消耗的能量大部分转变为热能，且设备磨损较为严重。相关研究表明，相较于传统球磨机，立式磨机可在保证粉煤灰性能的前提下，研磨整形后的粉煤灰粒径分布更接近Fuller曲线，较好的保留完整玻璃微珠的颗粒形貌，且温度升幅小、研磨效率高，具有更高的节能性和环保性。</w:t>
      </w:r>
    </w:p>
    <w:p w14:paraId="745F6641">
      <w:pPr>
        <w:pStyle w:val="37"/>
        <w:ind w:left="0" w:firstLine="480" w:firstLineChars="200"/>
      </w:pPr>
      <w:r>
        <w:rPr>
          <w:rFonts w:hint="eastAsia"/>
        </w:rPr>
        <w:t>厦门艾思欧标准砂有限公司自主研发出新型干法节能型立式研磨整形装备，制备的</w:t>
      </w:r>
      <w:r>
        <w:t>物理改性粉煤灰长径比降低，圆形度提高，细度和需水量比明显降低，28d强度活性指数提高</w:t>
      </w:r>
      <w:r>
        <w:rPr>
          <w:rFonts w:hint="eastAsia"/>
        </w:rPr>
        <w:t>，</w:t>
      </w:r>
      <w:r>
        <w:t>作为活性混合材料用于水泥混凝土中，可替代</w:t>
      </w:r>
      <w:r>
        <w:rPr>
          <w:rFonts w:hint="eastAsia"/>
        </w:rPr>
        <w:t>约</w:t>
      </w:r>
      <w:r>
        <w:t>20%的水泥熟料</w:t>
      </w:r>
      <w:r>
        <w:rPr>
          <w:rFonts w:hint="eastAsia"/>
        </w:rPr>
        <w:t>，</w:t>
      </w:r>
      <w:r>
        <w:t>改善水泥混凝土工作性能，提高密实度，</w:t>
      </w:r>
      <w:r>
        <w:rPr>
          <w:rFonts w:hint="eastAsia"/>
        </w:rPr>
        <w:t>提升</w:t>
      </w:r>
      <w:r>
        <w:t>混凝土的耐久性能。</w:t>
      </w:r>
      <w:r>
        <w:rPr>
          <w:rFonts w:hint="eastAsia"/>
        </w:rPr>
        <w:t>但目前行业内仍普遍参照GB/T 1596-2017《用于水泥和混凝土中的粉煤灰》对粉煤灰相关产品进行性能评判，未涵盖物理改性粉煤灰特有的玻璃微珠完好率、颗粒形貌、粒径分布等关键技术要求，极大的限制了物理改性粉煤灰的高效应用。</w:t>
      </w:r>
      <w:r>
        <w:t>因此制定</w:t>
      </w:r>
      <w:r>
        <w:rPr>
          <w:rFonts w:hint="eastAsia"/>
        </w:rPr>
        <w:t>物理改性</w:t>
      </w:r>
      <w:r>
        <w:t>粉煤灰的产品标准，规范产品的准入门槛</w:t>
      </w:r>
      <w:r>
        <w:rPr>
          <w:rFonts w:hint="eastAsia"/>
        </w:rPr>
        <w:t>势在必行</w:t>
      </w:r>
      <w:r>
        <w:t>。本标准的发布实施，</w:t>
      </w:r>
      <w:r>
        <w:rPr>
          <w:rFonts w:hint="eastAsia"/>
        </w:rPr>
        <w:t>将有效提升我国粉煤灰等工业固废资源化再利用水平，促进绿色高性能混凝土和低碳循环建材产业发展</w:t>
      </w:r>
      <w:r>
        <w:t>，助力建材行业早日实现碳达峰。</w:t>
      </w:r>
    </w:p>
    <w:p w14:paraId="2D4708DD">
      <w:pPr>
        <w:pStyle w:val="37"/>
        <w:numPr>
          <w:ilvl w:val="1"/>
          <w:numId w:val="2"/>
        </w:numPr>
        <w:ind w:firstLine="482" w:firstLineChars="200"/>
        <w:outlineLvl w:val="1"/>
        <w:rPr>
          <w:b/>
          <w:bCs/>
        </w:rPr>
      </w:pPr>
      <w:r>
        <w:rPr>
          <w:b/>
          <w:bCs/>
        </w:rPr>
        <w:t>国内外研究进展</w:t>
      </w:r>
    </w:p>
    <w:p w14:paraId="20AD22B8">
      <w:pPr>
        <w:pStyle w:val="37"/>
        <w:ind w:left="0" w:firstLine="480" w:firstLineChars="200"/>
      </w:pPr>
      <w:r>
        <w:t>国内外科研团队对物理改性粉煤灰作为掺合料用于拌制砂浆和混凝土及作为活性混合材料</w:t>
      </w:r>
      <w:r>
        <w:rPr>
          <w:rFonts w:hint="eastAsia"/>
        </w:rPr>
        <w:t>用于</w:t>
      </w:r>
      <w:r>
        <w:t>生产水泥做了大量研究。</w:t>
      </w:r>
    </w:p>
    <w:p w14:paraId="5DC89DE6">
      <w:pPr>
        <w:pStyle w:val="37"/>
        <w:ind w:left="0" w:firstLine="480" w:firstLineChars="200"/>
      </w:pPr>
      <w:r>
        <w:rPr>
          <w:rFonts w:hint="eastAsia"/>
        </w:rPr>
        <w:t>Li H等人发表的《</w:t>
      </w:r>
      <w:r>
        <w:t>Microstructure and performance of fly ash micro-beads in cementitious material system</w:t>
      </w:r>
      <w:r>
        <w:rPr>
          <w:rFonts w:hint="eastAsia"/>
        </w:rPr>
        <w:t>》论文研究了粉煤灰内部的微晶和非晶相对胶凝材料性能的影响，表明</w:t>
      </w:r>
      <w:r>
        <w:t>研磨可以破坏粉煤灰</w:t>
      </w:r>
      <w:r>
        <w:rPr>
          <w:rFonts w:hint="eastAsia"/>
        </w:rPr>
        <w:t>玻璃微</w:t>
      </w:r>
      <w:r>
        <w:t>珠</w:t>
      </w:r>
      <w:r>
        <w:rPr>
          <w:rFonts w:hint="eastAsia"/>
        </w:rPr>
        <w:t>子母珠</w:t>
      </w:r>
      <w:r>
        <w:t>的外壳，释放</w:t>
      </w:r>
      <w:r>
        <w:rPr>
          <w:rFonts w:hint="eastAsia"/>
        </w:rPr>
        <w:t>内部较小的微珠结构</w:t>
      </w:r>
      <w:r>
        <w:t>，从而大大提升粉煤灰微珠的活性和</w:t>
      </w:r>
      <w:r>
        <w:rPr>
          <w:rFonts w:hint="eastAsia"/>
        </w:rPr>
        <w:t>微集料效应，</w:t>
      </w:r>
      <w:r>
        <w:t>同时</w:t>
      </w:r>
      <w:r>
        <w:rPr>
          <w:rFonts w:hint="eastAsia"/>
        </w:rPr>
        <w:t>将激发粉煤灰</w:t>
      </w:r>
      <w:r>
        <w:t>颗粒中</w:t>
      </w:r>
      <w:r>
        <w:rPr>
          <w:rFonts w:hint="eastAsia"/>
        </w:rPr>
        <w:t>纳米</w:t>
      </w:r>
      <w:r>
        <w:t>微晶的增强纤维效应，</w:t>
      </w:r>
      <w:r>
        <w:rPr>
          <w:rFonts w:hint="eastAsia"/>
        </w:rPr>
        <w:t>后期将</w:t>
      </w:r>
      <w:r>
        <w:t>提升</w:t>
      </w:r>
      <w:r>
        <w:rPr>
          <w:rFonts w:hint="eastAsia"/>
        </w:rPr>
        <w:t>胶凝</w:t>
      </w:r>
      <w:r>
        <w:t>材料的</w:t>
      </w:r>
      <w:r>
        <w:rPr>
          <w:rFonts w:hint="eastAsia"/>
        </w:rPr>
        <w:t>抗压抗折</w:t>
      </w:r>
      <w:r>
        <w:t>强度。</w:t>
      </w:r>
    </w:p>
    <w:p w14:paraId="3A9B76C3">
      <w:pPr>
        <w:pStyle w:val="37"/>
        <w:ind w:left="0" w:firstLine="480" w:firstLineChars="200"/>
      </w:pPr>
      <w:r>
        <w:rPr>
          <w:rFonts w:hint="eastAsia"/>
        </w:rPr>
        <w:t>Suraneni P等人发表的《Effects of unconventional fly ashes on cementitious paste properties》论文，研究了经分选、磨细等物理方式提质的非常规粉煤灰对水泥净浆早期及后期性能的影响，结果表明物理改性的粉煤灰同样具火山灰反应性并能贡献强度发展，建议现行标准（ASTM C618等）应拓展以接纳物理改性粉煤灰。</w:t>
      </w:r>
    </w:p>
    <w:p w14:paraId="7927F4DF">
      <w:pPr>
        <w:pStyle w:val="37"/>
        <w:ind w:left="0" w:firstLine="480" w:firstLineChars="200"/>
      </w:pPr>
      <w:r>
        <w:rPr>
          <w:rFonts w:hint="eastAsia"/>
        </w:rPr>
        <w:t>Ohenoja K等人发表的《Mechanically Treated Fly Ash from Fluidized Bed Combustion of Peat, Wood, and Wastes in Concrete》论文中，对循环流化床焚烧生物质产生的低品质粉煤灰进行机械分级与粉磨物理改性后用作水泥替代材，发现经物理处理后的粉煤灰满足标准要求，掺20%时砂浆抗压强度可达基准样的80%、抗折强度达90%，证实物理改性可使低品质灰具备混凝土应用价值。</w:t>
      </w:r>
    </w:p>
    <w:p w14:paraId="173958C5">
      <w:pPr>
        <w:pStyle w:val="37"/>
        <w:ind w:left="0" w:firstLine="480" w:firstLineChars="200"/>
      </w:pPr>
      <w:r>
        <w:rPr>
          <w:rFonts w:hint="eastAsia"/>
        </w:rPr>
        <w:t>Kiattikomol K等人发表的《A study of ground coarse fly ashes with different fineness from various sources as pozzolanic materials》论文，研究了不同细度磨细粗粉煤灰的火山灰活性，表明磨细粉煤灰制备的水泥胶砂强度指数主要与粉煤灰细度相关，与其化学成分影响不大；当磨细粉煤灰中粒径小于9</w:t>
      </w:r>
      <w:r>
        <w:t>μ</w:t>
      </w:r>
      <w:r>
        <w:rPr>
          <w:rFonts w:hint="eastAsia"/>
        </w:rPr>
        <w:t>m颗粒占比较高时，水泥胶砂28d强度可超过纯水泥胶砂试块。</w:t>
      </w:r>
    </w:p>
    <w:p w14:paraId="219728C7">
      <w:pPr>
        <w:pStyle w:val="37"/>
        <w:ind w:left="0" w:firstLine="480" w:firstLineChars="200"/>
      </w:pPr>
      <w:r>
        <w:rPr>
          <w:rFonts w:hint="eastAsia"/>
        </w:rPr>
        <w:t>Y.Li等人发表的《Effects of fly ash microsphere on rheology, adhesiveness and strength of mortar》论文，研究了超细粉煤灰微珠对新拌及硬化砂浆性能的影响，发现超细粉煤灰的加入可有效提高砂浆堆积密度、降低孔隙率，在相同流动性要求下允许降低水胶比，从而提升砂浆抗压强度。</w:t>
      </w:r>
    </w:p>
    <w:p w14:paraId="29E644C5">
      <w:pPr>
        <w:pStyle w:val="37"/>
        <w:ind w:left="0" w:firstLine="480" w:firstLineChars="200"/>
      </w:pPr>
      <w:r>
        <w:t>西安建筑科技大学曹敏丽</w:t>
      </w:r>
      <w:r>
        <w:rPr>
          <w:rFonts w:hint="eastAsia"/>
        </w:rPr>
        <w:t>的硕士论文《</w:t>
      </w:r>
      <w:r>
        <w:t>不同粉磨工艺对粉煤灰性能的影响</w:t>
      </w:r>
      <w:r>
        <w:rPr>
          <w:rFonts w:hint="eastAsia"/>
        </w:rPr>
        <w:t>》</w:t>
      </w:r>
      <w:r>
        <w:t>研究对比</w:t>
      </w:r>
      <w:r>
        <w:rPr>
          <w:rFonts w:hint="eastAsia"/>
        </w:rPr>
        <w:t>了</w:t>
      </w:r>
      <w:r>
        <w:t>盘磨、环辊磨、振动磨和球磨四种工艺对粉煤灰的超细粉磨效果，</w:t>
      </w:r>
      <w:r>
        <w:rPr>
          <w:rFonts w:hint="eastAsia"/>
        </w:rPr>
        <w:t>表明</w:t>
      </w:r>
      <w:r>
        <w:t>适度粉磨可使原灰中粘连微珠解离为独立球形颗粒，并将复珠（子母珠）结构内部包裹的更细小微珠释放出来；其中盘磨粉磨至中位径约3μm时球形度保持最好，玻璃微珠完好率高，掺入混凝土中可充分发挥粉煤灰的形态减水效应、微集料填充效应和火山灰效应，使混凝土工作性和强度同步提升</w:t>
      </w:r>
      <w:r>
        <w:rPr>
          <w:rFonts w:hint="eastAsia"/>
        </w:rPr>
        <w:t>。</w:t>
      </w:r>
    </w:p>
    <w:p w14:paraId="0AC32BB1">
      <w:pPr>
        <w:pStyle w:val="37"/>
        <w:ind w:left="0" w:firstLine="480" w:firstLineChars="200"/>
      </w:pPr>
      <w:r>
        <w:t>西安建筑科技大学李辉等人发表的《大掺量超细粉煤灰高强混凝土研究》论文中，指出将粉煤灰超细粉磨至合适细度可在释放微珠内部包裹更细小球形微珠（破解子母珠）的同时，减弱不规则粘连颗粒影响；超细粉磨使比表面积增大，早期更好发挥微集料效应填充水泥颗粒间隙，后期更好发挥火山灰效应生成C‑S‑H凝胶，从而使高强混凝土早后期强度显著增强，验证了物理改性对粉煤灰三大效应协同发挥的作用</w:t>
      </w:r>
      <w:r>
        <w:rPr>
          <w:rFonts w:hint="eastAsia"/>
        </w:rPr>
        <w:t>。</w:t>
      </w:r>
    </w:p>
    <w:p w14:paraId="06E28D3B">
      <w:pPr>
        <w:pStyle w:val="37"/>
        <w:ind w:left="0" w:firstLine="480" w:firstLineChars="200"/>
      </w:pPr>
      <w:r>
        <w:rPr>
          <w:rFonts w:hint="eastAsia"/>
        </w:rPr>
        <w:t>西南科技大学</w:t>
      </w:r>
      <w:r>
        <w:t>曾玻等人发表的《超细粉煤灰物理特性对浆体性能的影响与机理》</w:t>
      </w:r>
      <w:r>
        <w:rPr>
          <w:rFonts w:hint="eastAsia"/>
        </w:rPr>
        <w:t>论文研究</w:t>
      </w:r>
      <w:r>
        <w:t>表明</w:t>
      </w:r>
      <w:r>
        <w:rPr>
          <w:rFonts w:hint="eastAsia"/>
        </w:rPr>
        <w:t>，</w:t>
      </w:r>
      <w:r>
        <w:t>过度粉碎程度较轻</w:t>
      </w:r>
      <w:r>
        <w:rPr>
          <w:rFonts w:hint="eastAsia"/>
        </w:rPr>
        <w:t>的</w:t>
      </w:r>
      <w:r>
        <w:t>粉煤灰，粒度分布范围窄，颗粒粒径均匀，球形颗粒多，表面光滑，分散性好，有利于减少需水量，改善强度活性指数</w:t>
      </w:r>
      <w:r>
        <w:rPr>
          <w:rFonts w:hint="eastAsia"/>
        </w:rPr>
        <w:t>；</w:t>
      </w:r>
      <w:r>
        <w:t>且在水泥浆体中水化速率快，生成的水化产物较多，有利于提高复合胶凝材料净浆浆体抗压强度</w:t>
      </w:r>
      <w:r>
        <w:rPr>
          <w:rFonts w:hint="eastAsia"/>
        </w:rPr>
        <w:t>：</w:t>
      </w:r>
      <w:r>
        <w:t>当粒径为3.3μm的粉煤灰等量替代质量分数为30%的水泥时，粉煤灰-水泥复合胶凝材料28d抗压强度可以达到硅酸盐水泥的83.85%。</w:t>
      </w:r>
    </w:p>
    <w:p w14:paraId="0A1A2586">
      <w:pPr>
        <w:pStyle w:val="37"/>
        <w:ind w:left="0" w:firstLine="480" w:firstLineChars="200"/>
      </w:pPr>
      <w:r>
        <w:rPr>
          <w:rFonts w:hint="eastAsia"/>
        </w:rPr>
        <w:t>湖北工业大学范梦甜等人发表的《超细粉煤灰对水泥性能的影响及在混凝土中的应用研究》论文中，采用球磨将Ⅱ级粉煤灰超细粉磨至中位径最低</w:t>
      </w:r>
      <w:r>
        <w:t>2.4μm</w:t>
      </w:r>
      <w:r>
        <w:rPr>
          <w:rFonts w:hint="eastAsia"/>
        </w:rPr>
        <w:t>，研究发现超细粉煤灰掺入使复合胶凝材料</w:t>
      </w:r>
      <w:r>
        <w:t>28d</w:t>
      </w:r>
      <w:r>
        <w:rPr>
          <w:rFonts w:hint="eastAsia"/>
        </w:rPr>
        <w:t>抗压强度明显提高，降低硬化浆体孔隙率和中值孔径，</w:t>
      </w:r>
      <w:r>
        <w:t>Ca(OH)₂</w:t>
      </w:r>
      <w:r>
        <w:rPr>
          <w:rFonts w:hint="eastAsia"/>
        </w:rPr>
        <w:t>含量由</w:t>
      </w:r>
      <w:r>
        <w:t>16.53%</w:t>
      </w:r>
      <w:r>
        <w:rPr>
          <w:rFonts w:hint="eastAsia"/>
        </w:rPr>
        <w:t>降至</w:t>
      </w:r>
      <w:r>
        <w:t>10.28%</w:t>
      </w:r>
      <w:r>
        <w:rPr>
          <w:rFonts w:hint="eastAsia"/>
        </w:rPr>
        <w:t>，表明超细物理改性可有效激发粉煤灰的微集料填充效应与火山灰反应。</w:t>
      </w:r>
    </w:p>
    <w:p w14:paraId="3429706E">
      <w:pPr>
        <w:pStyle w:val="37"/>
        <w:ind w:left="0" w:firstLine="480" w:firstLineChars="200"/>
      </w:pPr>
      <w:r>
        <w:t>陕西秦汉恒盛新型建材科技股份有限公司</w:t>
      </w:r>
      <w:r>
        <w:rPr>
          <w:rFonts w:hint="eastAsia"/>
        </w:rPr>
        <w:t>王武锁等人发表的《超细粉煤灰对混凝土水化热及物理力学性能的影响》论文中，将超细粉煤灰部分替代普通粉煤灰用于C50混凝土，结果表明超细粉煤灰可延缓并降低胶凝材料水化放热峰值，在取代量&lt;50%时显著改善混凝土流动性，且随取代量增加混凝土抗压强度呈增长趋势，验证了物理超细改性粉煤灰对混凝土工作性和力学性能的协同提升作用。</w:t>
      </w:r>
    </w:p>
    <w:p w14:paraId="1F51B1DC">
      <w:pPr>
        <w:pStyle w:val="37"/>
        <w:ind w:left="0" w:firstLine="480" w:firstLineChars="200"/>
      </w:pPr>
      <w:r>
        <w:t>综上所述，</w:t>
      </w:r>
      <w:r>
        <w:rPr>
          <w:rFonts w:hint="eastAsia"/>
        </w:rPr>
        <w:t>对</w:t>
      </w:r>
      <w:r>
        <w:t>粉煤灰</w:t>
      </w:r>
      <w:r>
        <w:rPr>
          <w:rFonts w:hint="eastAsia"/>
        </w:rPr>
        <w:t>进行物理改性多采用以球磨为主的机械粉磨方式，通过粉磨可在一定程度上改善其颗粒形貌，</w:t>
      </w:r>
      <w:r>
        <w:t>破解</w:t>
      </w:r>
      <w:r>
        <w:rPr>
          <w:rFonts w:hint="eastAsia"/>
        </w:rPr>
        <w:t>粉煤灰的</w:t>
      </w:r>
      <w:r>
        <w:t>子母珠和粘连微珠</w:t>
      </w:r>
      <w:r>
        <w:rPr>
          <w:rFonts w:hint="eastAsia"/>
        </w:rPr>
        <w:t>结构释放</w:t>
      </w:r>
      <w:r>
        <w:t>出新的微珠，在水泥和混凝土中能</w:t>
      </w:r>
      <w:r>
        <w:rPr>
          <w:rFonts w:hint="eastAsia"/>
        </w:rPr>
        <w:t>更好</w:t>
      </w:r>
      <w:r>
        <w:t>发挥出</w:t>
      </w:r>
      <w:r>
        <w:rPr>
          <w:rFonts w:hint="eastAsia"/>
        </w:rPr>
        <w:t>粉煤灰的三大</w:t>
      </w:r>
      <w:r>
        <w:t>效应，</w:t>
      </w:r>
      <w:r>
        <w:rPr>
          <w:rFonts w:hint="eastAsia"/>
        </w:rPr>
        <w:t>从而</w:t>
      </w:r>
      <w:r>
        <w:t>提高混凝土的工作性能、力学性能和耐久性能。</w:t>
      </w:r>
    </w:p>
    <w:p w14:paraId="7685C063">
      <w:pPr>
        <w:pStyle w:val="37"/>
        <w:numPr>
          <w:ilvl w:val="1"/>
          <w:numId w:val="2"/>
        </w:numPr>
        <w:ind w:firstLine="482" w:firstLineChars="200"/>
        <w:outlineLvl w:val="1"/>
        <w:rPr>
          <w:b/>
          <w:bCs/>
        </w:rPr>
      </w:pPr>
      <w:r>
        <w:rPr>
          <w:b/>
          <w:bCs/>
        </w:rPr>
        <w:t>标准编制组对</w:t>
      </w:r>
      <w:r>
        <w:rPr>
          <w:rFonts w:hint="eastAsia"/>
          <w:b/>
          <w:bCs/>
        </w:rPr>
        <w:t>物理改性</w:t>
      </w:r>
      <w:r>
        <w:rPr>
          <w:b/>
          <w:bCs/>
        </w:rPr>
        <w:t>粉煤灰的应用研究</w:t>
      </w:r>
    </w:p>
    <w:p w14:paraId="21F195CE">
      <w:pPr>
        <w:pStyle w:val="37"/>
        <w:ind w:left="0" w:firstLine="480" w:firstLineChars="200"/>
      </w:pPr>
      <w:r>
        <w:t>标准申请立项前，</w:t>
      </w:r>
      <w:r>
        <w:rPr>
          <w:rFonts w:hint="eastAsia"/>
        </w:rPr>
        <w:t>厦门艾思欧标准砂</w:t>
      </w:r>
      <w:r>
        <w:t>有限公司</w:t>
      </w:r>
      <w:r>
        <w:rPr>
          <w:rFonts w:hint="eastAsia"/>
        </w:rPr>
        <w:t>分别选取</w:t>
      </w:r>
      <w:r>
        <w:t>福建漳州后石电厂</w:t>
      </w:r>
      <w:r>
        <w:rPr>
          <w:rFonts w:hint="eastAsia"/>
        </w:rPr>
        <w:t>、</w:t>
      </w:r>
      <w:r>
        <w:t>浙能乐清电厂</w:t>
      </w:r>
      <w:r>
        <w:rPr>
          <w:rFonts w:hint="eastAsia"/>
        </w:rPr>
        <w:t>、</w:t>
      </w:r>
      <w:r>
        <w:t>福建泉州鸿山电厂</w:t>
      </w:r>
      <w:r>
        <w:rPr>
          <w:rFonts w:hint="eastAsia"/>
        </w:rPr>
        <w:t>、</w:t>
      </w:r>
      <w:r>
        <w:t>宁夏建材宁东分厂</w:t>
      </w:r>
      <w:r>
        <w:rPr>
          <w:rFonts w:hint="eastAsia"/>
        </w:rPr>
        <w:t>共</w:t>
      </w:r>
      <w:r>
        <w:t>4个电厂</w:t>
      </w:r>
      <w:r>
        <w:rPr>
          <w:rFonts w:hint="eastAsia"/>
        </w:rPr>
        <w:t>的</w:t>
      </w:r>
      <w:r>
        <w:t>粉煤灰</w:t>
      </w:r>
      <w:r>
        <w:rPr>
          <w:rFonts w:hint="eastAsia"/>
        </w:rPr>
        <w:t>进行研磨整形试验，并对</w:t>
      </w:r>
      <w:r>
        <w:t>制备的</w:t>
      </w:r>
      <w:r>
        <w:rPr>
          <w:rFonts w:hint="eastAsia"/>
        </w:rPr>
        <w:t>物理改性</w:t>
      </w:r>
      <w:r>
        <w:t>粉煤灰的基本特性及其在水泥、砂浆和混凝土中的应用进行了系统的研究，研究结果为本标准编制工作提供数据支撑。</w:t>
      </w:r>
    </w:p>
    <w:p w14:paraId="09719D08">
      <w:pPr>
        <w:pStyle w:val="37"/>
        <w:numPr>
          <w:ilvl w:val="2"/>
          <w:numId w:val="2"/>
        </w:numPr>
        <w:ind w:firstLine="482" w:firstLineChars="200"/>
        <w:outlineLvl w:val="2"/>
        <w:rPr>
          <w:b/>
          <w:bCs/>
        </w:rPr>
      </w:pPr>
      <w:r>
        <w:rPr>
          <w:rFonts w:hint="eastAsia"/>
          <w:b/>
          <w:bCs/>
        </w:rPr>
        <w:t>物理改性</w:t>
      </w:r>
      <w:r>
        <w:rPr>
          <w:b/>
          <w:bCs/>
        </w:rPr>
        <w:t>粉煤灰基本性能检测</w:t>
      </w:r>
    </w:p>
    <w:p w14:paraId="588F8ACB">
      <w:pPr>
        <w:pStyle w:val="37"/>
        <w:ind w:left="0" w:firstLine="480" w:firstLineChars="200"/>
      </w:pPr>
      <w:r>
        <w:rPr>
          <w:rFonts w:hint="eastAsia"/>
        </w:rPr>
        <w:t>粉煤灰研磨整形前后的基本性能</w:t>
      </w:r>
      <w:r>
        <w:t>按GB/T</w:t>
      </w:r>
      <w:r>
        <w:rPr>
          <w:rFonts w:hint="eastAsia"/>
        </w:rPr>
        <w:t xml:space="preserve"> </w:t>
      </w:r>
      <w:r>
        <w:t>1596要求进行试验</w:t>
      </w:r>
      <w:r>
        <w:rPr>
          <w:rFonts w:hint="eastAsia"/>
        </w:rPr>
        <w:t>。</w:t>
      </w:r>
    </w:p>
    <w:p w14:paraId="58152329">
      <w:pPr>
        <w:pStyle w:val="37"/>
        <w:numPr>
          <w:ilvl w:val="3"/>
          <w:numId w:val="2"/>
        </w:numPr>
        <w:ind w:firstLine="482" w:firstLineChars="200"/>
        <w:outlineLvl w:val="3"/>
        <w:rPr>
          <w:b/>
          <w:bCs/>
        </w:rPr>
      </w:pPr>
      <w:r>
        <w:rPr>
          <w:b/>
          <w:bCs/>
        </w:rPr>
        <w:t>福建漳州后石电厂粉煤灰</w:t>
      </w:r>
    </w:p>
    <w:p w14:paraId="640608A9">
      <w:pPr>
        <w:pStyle w:val="37"/>
        <w:numPr>
          <w:ilvl w:val="0"/>
          <w:numId w:val="3"/>
        </w:numPr>
      </w:pPr>
      <w:r>
        <w:rPr>
          <w:rFonts w:hint="eastAsia"/>
        </w:rPr>
        <w:t>粒径分布和物理性能</w:t>
      </w:r>
    </w:p>
    <w:p w14:paraId="328AA038">
      <w:pPr>
        <w:pStyle w:val="37"/>
        <w:ind w:left="0" w:firstLine="480" w:firstLineChars="200"/>
      </w:pPr>
      <w:r>
        <w:t>物理改性粉煤灰</w:t>
      </w:r>
      <w:r>
        <w:rPr>
          <w:rFonts w:hint="eastAsia"/>
        </w:rPr>
        <w:t>的粒径</w:t>
      </w:r>
      <w:r>
        <w:t>分布</w:t>
      </w:r>
      <w:r>
        <w:rPr>
          <w:rFonts w:hint="eastAsia"/>
        </w:rPr>
        <w:t>和物理性能</w:t>
      </w:r>
      <w:r>
        <w:t>试验结果</w:t>
      </w:r>
      <w:r>
        <w:rPr>
          <w:rFonts w:hint="eastAsia"/>
        </w:rPr>
        <w:t>分别</w:t>
      </w:r>
      <w:r>
        <w:t>见</w:t>
      </w:r>
      <w:r>
        <w:fldChar w:fldCharType="begin"/>
      </w:r>
      <w:r>
        <w:instrText xml:space="preserve"> REF _Ref230704443 \h  \* MERGEFORMAT </w:instrText>
      </w:r>
      <w:r>
        <w:fldChar w:fldCharType="separate"/>
      </w:r>
      <w:r>
        <w:rPr>
          <w:rFonts w:hint="eastAsia"/>
        </w:rPr>
        <w:t>表</w:t>
      </w:r>
      <w:r>
        <w:t>1</w:t>
      </w:r>
      <w:r>
        <w:fldChar w:fldCharType="end"/>
      </w:r>
      <w:r>
        <w:rPr>
          <w:rFonts w:hint="eastAsia"/>
        </w:rPr>
        <w:t>和</w:t>
      </w:r>
      <w:r>
        <w:fldChar w:fldCharType="begin"/>
      </w:r>
      <w:r>
        <w:instrText xml:space="preserve"> </w:instrText>
      </w:r>
      <w:r>
        <w:rPr>
          <w:rFonts w:hint="eastAsia"/>
        </w:rPr>
        <w:instrText xml:space="preserve">REF _Ref230705065 \h</w:instrText>
      </w:r>
      <w:r>
        <w:instrText xml:space="preserve">  \* MERGEFORMAT </w:instrText>
      </w:r>
      <w:r>
        <w:fldChar w:fldCharType="separate"/>
      </w:r>
      <w:r>
        <w:rPr>
          <w:rFonts w:hint="eastAsia"/>
        </w:rPr>
        <w:t>表</w:t>
      </w:r>
      <w:r>
        <w:t>2</w:t>
      </w:r>
      <w:r>
        <w:fldChar w:fldCharType="end"/>
      </w:r>
      <w:r>
        <w:t>。</w:t>
      </w:r>
    </w:p>
    <w:p w14:paraId="1CA96174">
      <w:pPr>
        <w:pStyle w:val="37"/>
        <w:ind w:left="0" w:firstLine="480" w:firstLineChars="200"/>
      </w:pPr>
      <w:r>
        <w:rPr>
          <w:rFonts w:hint="eastAsia"/>
        </w:rPr>
        <w:t>由</w:t>
      </w:r>
      <w:r>
        <w:fldChar w:fldCharType="begin"/>
      </w:r>
      <w:r>
        <w:instrText xml:space="preserve"> REF _Ref230704443 \h  \* MERGEFORMAT </w:instrText>
      </w:r>
      <w:r>
        <w:fldChar w:fldCharType="separate"/>
      </w:r>
      <w:r>
        <w:rPr>
          <w:rFonts w:hint="eastAsia"/>
        </w:rPr>
        <w:t>表</w:t>
      </w:r>
      <w:r>
        <w:t>1</w:t>
      </w:r>
      <w:r>
        <w:fldChar w:fldCharType="end"/>
      </w:r>
      <w:r>
        <w:rPr>
          <w:rFonts w:hint="eastAsia"/>
        </w:rPr>
        <w:t>可知</w:t>
      </w:r>
      <w:r>
        <w:t>，物理改性粉煤灰粒径分布、颗粒细度得到明显改善，研磨介质采用钢球或刚玉球，45μm筛余从21.8%均降至0.9%，45μm筛余相同但中位粒径（D50）不同，采用钢球研磨介质的物理改性粉煤灰VHSF2-700-120-135-10比VHCF2-320-100-135-10的中位粒径小（分别为7μm和10μm），采用刚玉球研磨整形的粉煤灰粒径分布更宽（均匀性系数更小）。</w:t>
      </w:r>
    </w:p>
    <w:p w14:paraId="0C8860F0">
      <w:pPr>
        <w:pStyle w:val="37"/>
        <w:ind w:left="0" w:firstLine="480" w:firstLineChars="200"/>
      </w:pPr>
      <w:r>
        <w:rPr>
          <w:rFonts w:hint="eastAsia"/>
        </w:rPr>
        <w:t>由</w:t>
      </w:r>
      <w:r>
        <w:fldChar w:fldCharType="begin"/>
      </w:r>
      <w:r>
        <w:instrText xml:space="preserve"> </w:instrText>
      </w:r>
      <w:r>
        <w:rPr>
          <w:rFonts w:hint="eastAsia"/>
        </w:rPr>
        <w:instrText xml:space="preserve">REF _Ref230705065 \h</w:instrText>
      </w:r>
      <w:r>
        <w:instrText xml:space="preserve">  \* MERGEFORMAT </w:instrText>
      </w:r>
      <w:r>
        <w:fldChar w:fldCharType="separate"/>
      </w:r>
      <w:r>
        <w:rPr>
          <w:rFonts w:hint="eastAsia"/>
        </w:rPr>
        <w:t>表</w:t>
      </w:r>
      <w:r>
        <w:t>2</w:t>
      </w:r>
      <w:r>
        <w:fldChar w:fldCharType="end"/>
      </w:r>
      <w:r>
        <w:rPr>
          <w:rFonts w:hint="eastAsia"/>
        </w:rPr>
        <w:t>可知</w:t>
      </w:r>
      <w:r>
        <w:t>，物理改性粉煤灰需水量比降低，活性指数提高。VHSF2-700-120-135-10比VHCF2-320-100-135-10的中位粒径小，45μm筛余相同，但前者活性提高更高，需水量比降低更多</w:t>
      </w:r>
      <w:r>
        <w:rPr>
          <w:rFonts w:hint="eastAsia"/>
        </w:rPr>
        <w:t>。</w:t>
      </w:r>
    </w:p>
    <w:p w14:paraId="73521B41">
      <w:pPr>
        <w:pStyle w:val="37"/>
        <w:ind w:left="0" w:firstLine="480" w:firstLineChars="200"/>
      </w:pPr>
    </w:p>
    <w:p w14:paraId="553306E0">
      <w:pPr>
        <w:pStyle w:val="37"/>
        <w:ind w:left="0" w:firstLine="480" w:firstLineChars="200"/>
        <w:sectPr>
          <w:pgSz w:w="11906" w:h="16838"/>
          <w:pgMar w:top="1440" w:right="1800" w:bottom="1440" w:left="1800" w:header="851" w:footer="992" w:gutter="0"/>
          <w:cols w:space="425" w:num="1"/>
          <w:docGrid w:type="lines" w:linePitch="312" w:charSpace="0"/>
        </w:sectPr>
      </w:pPr>
    </w:p>
    <w:p w14:paraId="6C77B229">
      <w:pPr>
        <w:pStyle w:val="37"/>
        <w:ind w:left="0"/>
        <w:jc w:val="center"/>
        <w:rPr>
          <w:szCs w:val="21"/>
        </w:rPr>
      </w:pPr>
      <w:bookmarkStart w:id="0" w:name="_Ref230704443"/>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1</w:t>
      </w:r>
      <w:r>
        <w:fldChar w:fldCharType="end"/>
      </w:r>
      <w:bookmarkEnd w:id="0"/>
      <w:r>
        <w:t>福建漳州后石电厂粉煤灰</w:t>
      </w:r>
      <w:r>
        <w:rPr>
          <w:rFonts w:hint="eastAsia"/>
        </w:rPr>
        <w:t>粒径</w:t>
      </w:r>
      <w:r>
        <w:t>分布</w:t>
      </w:r>
    </w:p>
    <w:tbl>
      <w:tblPr>
        <w:tblStyle w:val="4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79"/>
        <w:gridCol w:w="2410"/>
        <w:gridCol w:w="968"/>
        <w:gridCol w:w="557"/>
        <w:gridCol w:w="557"/>
        <w:gridCol w:w="557"/>
        <w:gridCol w:w="558"/>
        <w:gridCol w:w="575"/>
        <w:gridCol w:w="815"/>
        <w:gridCol w:w="815"/>
        <w:gridCol w:w="815"/>
        <w:gridCol w:w="886"/>
        <w:gridCol w:w="814"/>
        <w:gridCol w:w="840"/>
        <w:gridCol w:w="879"/>
        <w:gridCol w:w="943"/>
      </w:tblGrid>
      <w:tr w14:paraId="4F80A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374" w:type="pct"/>
            <w:vMerge w:val="restart"/>
            <w:tcBorders>
              <w:top w:val="single" w:color="auto" w:sz="4" w:space="0"/>
              <w:left w:val="single" w:color="auto" w:sz="4" w:space="0"/>
              <w:bottom w:val="single" w:color="auto" w:sz="4" w:space="0"/>
              <w:right w:val="single" w:color="auto" w:sz="4" w:space="0"/>
            </w:tcBorders>
            <w:vAlign w:val="center"/>
          </w:tcPr>
          <w:p w14:paraId="1C9D5E37">
            <w:pPr>
              <w:widowControl w:val="0"/>
              <w:jc w:val="center"/>
              <w:rPr>
                <w:kern w:val="0"/>
              </w:rPr>
            </w:pPr>
            <w:r>
              <w:rPr>
                <w:kern w:val="0"/>
              </w:rPr>
              <w:t>类型</w:t>
            </w:r>
          </w:p>
        </w:tc>
        <w:tc>
          <w:tcPr>
            <w:tcW w:w="512" w:type="pct"/>
            <w:vMerge w:val="restart"/>
            <w:tcBorders>
              <w:top w:val="single" w:color="auto" w:sz="4" w:space="0"/>
              <w:left w:val="single" w:color="auto" w:sz="4" w:space="0"/>
              <w:bottom w:val="single" w:color="auto" w:sz="4" w:space="0"/>
              <w:right w:val="single" w:color="auto" w:sz="4" w:space="0"/>
            </w:tcBorders>
            <w:vAlign w:val="center"/>
          </w:tcPr>
          <w:p w14:paraId="5C341AAD">
            <w:pPr>
              <w:widowControl w:val="0"/>
              <w:jc w:val="center"/>
              <w:rPr>
                <w:kern w:val="0"/>
              </w:rPr>
            </w:pPr>
            <w:r>
              <w:rPr>
                <w:kern w:val="0"/>
              </w:rPr>
              <w:t>编号</w:t>
            </w:r>
          </w:p>
        </w:tc>
        <w:tc>
          <w:tcPr>
            <w:tcW w:w="370" w:type="pct"/>
            <w:vMerge w:val="restart"/>
            <w:tcBorders>
              <w:top w:val="single" w:color="auto" w:sz="4" w:space="0"/>
              <w:left w:val="single" w:color="auto" w:sz="4" w:space="0"/>
              <w:bottom w:val="single" w:color="auto" w:sz="4" w:space="0"/>
              <w:right w:val="single" w:color="auto" w:sz="4" w:space="0"/>
            </w:tcBorders>
            <w:vAlign w:val="center"/>
          </w:tcPr>
          <w:p w14:paraId="55F04F9D">
            <w:pPr>
              <w:widowControl w:val="0"/>
              <w:jc w:val="center"/>
              <w:rPr>
                <w:kern w:val="0"/>
              </w:rPr>
            </w:pPr>
            <w:r>
              <w:rPr>
                <w:kern w:val="0"/>
              </w:rPr>
              <w:t>45μm筛余（%）</w:t>
            </w:r>
          </w:p>
        </w:tc>
        <w:tc>
          <w:tcPr>
            <w:tcW w:w="1121" w:type="pct"/>
            <w:gridSpan w:val="5"/>
            <w:tcBorders>
              <w:top w:val="single" w:color="auto" w:sz="4" w:space="0"/>
              <w:left w:val="single" w:color="auto" w:sz="4" w:space="0"/>
              <w:bottom w:val="single" w:color="auto" w:sz="4" w:space="0"/>
              <w:right w:val="single" w:color="auto" w:sz="4" w:space="0"/>
            </w:tcBorders>
            <w:vAlign w:val="center"/>
          </w:tcPr>
          <w:p w14:paraId="7F2B2208">
            <w:pPr>
              <w:widowControl w:val="0"/>
              <w:jc w:val="center"/>
              <w:rPr>
                <w:kern w:val="0"/>
              </w:rPr>
            </w:pPr>
            <w:r>
              <w:rPr>
                <w:kern w:val="0"/>
              </w:rPr>
              <w:t>粒度特征参数（μm）</w:t>
            </w:r>
          </w:p>
        </w:tc>
        <w:tc>
          <w:tcPr>
            <w:tcW w:w="1924" w:type="pct"/>
            <w:gridSpan w:val="6"/>
            <w:tcBorders>
              <w:top w:val="single" w:color="auto" w:sz="4" w:space="0"/>
              <w:left w:val="single" w:color="auto" w:sz="4" w:space="0"/>
              <w:bottom w:val="single" w:color="auto" w:sz="4" w:space="0"/>
              <w:right w:val="single" w:color="auto" w:sz="4" w:space="0"/>
            </w:tcBorders>
            <w:vAlign w:val="center"/>
          </w:tcPr>
          <w:p w14:paraId="34C5919B">
            <w:pPr>
              <w:widowControl w:val="0"/>
              <w:jc w:val="center"/>
              <w:rPr>
                <w:kern w:val="0"/>
              </w:rPr>
            </w:pPr>
            <w:r>
              <w:rPr>
                <w:kern w:val="0"/>
              </w:rPr>
              <w:t>颗粒RRB分布参数（%）</w:t>
            </w:r>
          </w:p>
        </w:tc>
        <w:tc>
          <w:tcPr>
            <w:tcW w:w="338" w:type="pct"/>
            <w:vMerge w:val="restart"/>
            <w:tcBorders>
              <w:top w:val="single" w:color="auto" w:sz="4" w:space="0"/>
              <w:left w:val="single" w:color="auto" w:sz="4" w:space="0"/>
              <w:right w:val="single" w:color="auto" w:sz="4" w:space="0"/>
            </w:tcBorders>
          </w:tcPr>
          <w:p w14:paraId="1D4A2B97">
            <w:pPr>
              <w:widowControl w:val="0"/>
              <w:jc w:val="center"/>
              <w:rPr>
                <w:kern w:val="0"/>
              </w:rPr>
            </w:pPr>
            <w:r>
              <w:rPr>
                <w:kern w:val="0"/>
              </w:rPr>
              <w:t>特征粒径X</w:t>
            </w:r>
            <w:r>
              <w:rPr>
                <w:kern w:val="0"/>
                <w:vertAlign w:val="subscript"/>
              </w:rPr>
              <w:t>0</w:t>
            </w:r>
          </w:p>
        </w:tc>
        <w:tc>
          <w:tcPr>
            <w:tcW w:w="361" w:type="pct"/>
            <w:vMerge w:val="restart"/>
            <w:tcBorders>
              <w:top w:val="single" w:color="auto" w:sz="4" w:space="0"/>
              <w:left w:val="single" w:color="auto" w:sz="4" w:space="0"/>
              <w:right w:val="single" w:color="auto" w:sz="4" w:space="0"/>
            </w:tcBorders>
          </w:tcPr>
          <w:p w14:paraId="29C985C9">
            <w:pPr>
              <w:widowControl w:val="0"/>
              <w:jc w:val="center"/>
              <w:rPr>
                <w:kern w:val="0"/>
              </w:rPr>
            </w:pPr>
            <w:r>
              <w:rPr>
                <w:kern w:val="0"/>
              </w:rPr>
              <w:t>均匀性系数n</w:t>
            </w:r>
          </w:p>
        </w:tc>
      </w:tr>
      <w:tr w14:paraId="7C963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374" w:type="pct"/>
            <w:vMerge w:val="continue"/>
            <w:tcBorders>
              <w:top w:val="single" w:color="auto" w:sz="4" w:space="0"/>
              <w:left w:val="single" w:color="auto" w:sz="4" w:space="0"/>
              <w:bottom w:val="single" w:color="auto" w:sz="4" w:space="0"/>
              <w:right w:val="single" w:color="auto" w:sz="4" w:space="0"/>
            </w:tcBorders>
            <w:vAlign w:val="center"/>
          </w:tcPr>
          <w:p w14:paraId="4171AC3E">
            <w:pPr>
              <w:widowControl/>
              <w:jc w:val="left"/>
              <w:rPr>
                <w:kern w:val="0"/>
              </w:rPr>
            </w:pPr>
          </w:p>
        </w:tc>
        <w:tc>
          <w:tcPr>
            <w:tcW w:w="512" w:type="pct"/>
            <w:vMerge w:val="continue"/>
            <w:tcBorders>
              <w:top w:val="single" w:color="auto" w:sz="4" w:space="0"/>
              <w:left w:val="single" w:color="auto" w:sz="4" w:space="0"/>
              <w:bottom w:val="single" w:color="auto" w:sz="4" w:space="0"/>
              <w:right w:val="single" w:color="auto" w:sz="4" w:space="0"/>
            </w:tcBorders>
            <w:vAlign w:val="center"/>
          </w:tcPr>
          <w:p w14:paraId="40E9ABD4">
            <w:pPr>
              <w:widowControl/>
              <w:jc w:val="left"/>
              <w:rPr>
                <w:kern w:val="0"/>
              </w:rPr>
            </w:pPr>
          </w:p>
        </w:tc>
        <w:tc>
          <w:tcPr>
            <w:tcW w:w="370" w:type="pct"/>
            <w:vMerge w:val="continue"/>
            <w:tcBorders>
              <w:top w:val="single" w:color="auto" w:sz="4" w:space="0"/>
              <w:left w:val="single" w:color="auto" w:sz="4" w:space="0"/>
              <w:bottom w:val="single" w:color="auto" w:sz="4" w:space="0"/>
              <w:right w:val="single" w:color="auto" w:sz="4" w:space="0"/>
            </w:tcBorders>
            <w:vAlign w:val="center"/>
          </w:tcPr>
          <w:p w14:paraId="5F71ADAB">
            <w:pPr>
              <w:widowControl/>
              <w:jc w:val="left"/>
              <w:rPr>
                <w:kern w:val="0"/>
              </w:rPr>
            </w:pPr>
          </w:p>
        </w:tc>
        <w:tc>
          <w:tcPr>
            <w:tcW w:w="223" w:type="pct"/>
            <w:tcBorders>
              <w:top w:val="single" w:color="auto" w:sz="4" w:space="0"/>
              <w:left w:val="single" w:color="auto" w:sz="4" w:space="0"/>
              <w:bottom w:val="single" w:color="auto" w:sz="4" w:space="0"/>
              <w:right w:val="single" w:color="auto" w:sz="4" w:space="0"/>
            </w:tcBorders>
            <w:vAlign w:val="center"/>
          </w:tcPr>
          <w:p w14:paraId="2720682B">
            <w:pPr>
              <w:widowControl w:val="0"/>
              <w:jc w:val="center"/>
              <w:rPr>
                <w:kern w:val="0"/>
              </w:rPr>
            </w:pPr>
            <w:r>
              <w:rPr>
                <w:kern w:val="0"/>
              </w:rPr>
              <w:t>D10</w:t>
            </w:r>
          </w:p>
        </w:tc>
        <w:tc>
          <w:tcPr>
            <w:tcW w:w="223" w:type="pct"/>
            <w:tcBorders>
              <w:top w:val="single" w:color="auto" w:sz="4" w:space="0"/>
              <w:left w:val="single" w:color="auto" w:sz="4" w:space="0"/>
              <w:bottom w:val="single" w:color="auto" w:sz="4" w:space="0"/>
              <w:right w:val="single" w:color="auto" w:sz="4" w:space="0"/>
            </w:tcBorders>
            <w:vAlign w:val="center"/>
          </w:tcPr>
          <w:p w14:paraId="2148F471">
            <w:pPr>
              <w:widowControl w:val="0"/>
              <w:jc w:val="center"/>
              <w:rPr>
                <w:kern w:val="0"/>
              </w:rPr>
            </w:pPr>
            <w:r>
              <w:rPr>
                <w:kern w:val="0"/>
              </w:rPr>
              <w:t>D25</w:t>
            </w:r>
          </w:p>
        </w:tc>
        <w:tc>
          <w:tcPr>
            <w:tcW w:w="223" w:type="pct"/>
            <w:tcBorders>
              <w:top w:val="single" w:color="auto" w:sz="4" w:space="0"/>
              <w:left w:val="single" w:color="auto" w:sz="4" w:space="0"/>
              <w:bottom w:val="single" w:color="auto" w:sz="4" w:space="0"/>
              <w:right w:val="single" w:color="auto" w:sz="4" w:space="0"/>
            </w:tcBorders>
            <w:vAlign w:val="center"/>
          </w:tcPr>
          <w:p w14:paraId="06D65D15">
            <w:pPr>
              <w:widowControl w:val="0"/>
              <w:jc w:val="center"/>
              <w:rPr>
                <w:kern w:val="0"/>
              </w:rPr>
            </w:pPr>
            <w:r>
              <w:rPr>
                <w:kern w:val="0"/>
              </w:rPr>
              <w:t>D50</w:t>
            </w:r>
          </w:p>
        </w:tc>
        <w:tc>
          <w:tcPr>
            <w:tcW w:w="223" w:type="pct"/>
            <w:tcBorders>
              <w:top w:val="single" w:color="auto" w:sz="4" w:space="0"/>
              <w:left w:val="single" w:color="auto" w:sz="4" w:space="0"/>
              <w:bottom w:val="single" w:color="auto" w:sz="4" w:space="0"/>
              <w:right w:val="single" w:color="auto" w:sz="4" w:space="0"/>
            </w:tcBorders>
            <w:vAlign w:val="center"/>
          </w:tcPr>
          <w:p w14:paraId="68BDB3C9">
            <w:pPr>
              <w:widowControl w:val="0"/>
              <w:jc w:val="center"/>
              <w:rPr>
                <w:kern w:val="0"/>
              </w:rPr>
            </w:pPr>
            <w:r>
              <w:rPr>
                <w:kern w:val="0"/>
              </w:rPr>
              <w:t>D75</w:t>
            </w:r>
          </w:p>
        </w:tc>
        <w:tc>
          <w:tcPr>
            <w:tcW w:w="229" w:type="pct"/>
            <w:tcBorders>
              <w:top w:val="single" w:color="auto" w:sz="4" w:space="0"/>
              <w:left w:val="single" w:color="auto" w:sz="4" w:space="0"/>
              <w:bottom w:val="single" w:color="auto" w:sz="4" w:space="0"/>
              <w:right w:val="single" w:color="auto" w:sz="4" w:space="0"/>
            </w:tcBorders>
            <w:vAlign w:val="center"/>
          </w:tcPr>
          <w:p w14:paraId="50A718F5">
            <w:pPr>
              <w:widowControl w:val="0"/>
              <w:jc w:val="center"/>
              <w:rPr>
                <w:kern w:val="0"/>
              </w:rPr>
            </w:pPr>
            <w:r>
              <w:rPr>
                <w:kern w:val="0"/>
              </w:rPr>
              <w:t>D90</w:t>
            </w:r>
          </w:p>
        </w:tc>
        <w:tc>
          <w:tcPr>
            <w:tcW w:w="315" w:type="pct"/>
            <w:tcBorders>
              <w:top w:val="single" w:color="auto" w:sz="4" w:space="0"/>
              <w:left w:val="single" w:color="auto" w:sz="4" w:space="0"/>
              <w:bottom w:val="single" w:color="auto" w:sz="4" w:space="0"/>
              <w:right w:val="single" w:color="auto" w:sz="4" w:space="0"/>
            </w:tcBorders>
            <w:vAlign w:val="center"/>
          </w:tcPr>
          <w:p w14:paraId="35756145">
            <w:pPr>
              <w:widowControl w:val="0"/>
              <w:jc w:val="center"/>
              <w:rPr>
                <w:kern w:val="0"/>
              </w:rPr>
            </w:pPr>
            <w:r>
              <w:rPr>
                <w:kern w:val="0"/>
              </w:rPr>
              <w:t>＜3μm</w:t>
            </w:r>
          </w:p>
        </w:tc>
        <w:tc>
          <w:tcPr>
            <w:tcW w:w="315" w:type="pct"/>
            <w:tcBorders>
              <w:top w:val="single" w:color="auto" w:sz="4" w:space="0"/>
              <w:left w:val="single" w:color="auto" w:sz="4" w:space="0"/>
              <w:bottom w:val="single" w:color="auto" w:sz="4" w:space="0"/>
              <w:right w:val="single" w:color="auto" w:sz="4" w:space="0"/>
            </w:tcBorders>
            <w:vAlign w:val="center"/>
          </w:tcPr>
          <w:p w14:paraId="64850ED2">
            <w:pPr>
              <w:widowControl w:val="0"/>
              <w:jc w:val="center"/>
              <w:rPr>
                <w:kern w:val="0"/>
              </w:rPr>
            </w:pPr>
            <w:r>
              <w:rPr>
                <w:kern w:val="0"/>
              </w:rPr>
              <w:t>≤45μm</w:t>
            </w:r>
          </w:p>
        </w:tc>
        <w:tc>
          <w:tcPr>
            <w:tcW w:w="315" w:type="pct"/>
            <w:tcBorders>
              <w:top w:val="single" w:color="auto" w:sz="4" w:space="0"/>
              <w:left w:val="single" w:color="auto" w:sz="4" w:space="0"/>
              <w:bottom w:val="single" w:color="auto" w:sz="4" w:space="0"/>
              <w:right w:val="single" w:color="auto" w:sz="4" w:space="0"/>
            </w:tcBorders>
            <w:vAlign w:val="center"/>
          </w:tcPr>
          <w:p w14:paraId="5F9689FE">
            <w:pPr>
              <w:widowControl w:val="0"/>
              <w:jc w:val="center"/>
              <w:rPr>
                <w:kern w:val="0"/>
              </w:rPr>
            </w:pPr>
            <w:r>
              <w:rPr>
                <w:kern w:val="0"/>
              </w:rPr>
              <w:t>3-32μm</w:t>
            </w:r>
          </w:p>
        </w:tc>
        <w:tc>
          <w:tcPr>
            <w:tcW w:w="340" w:type="pct"/>
            <w:tcBorders>
              <w:top w:val="single" w:color="auto" w:sz="4" w:space="0"/>
              <w:left w:val="single" w:color="auto" w:sz="4" w:space="0"/>
              <w:bottom w:val="single" w:color="auto" w:sz="4" w:space="0"/>
              <w:right w:val="single" w:color="auto" w:sz="4" w:space="0"/>
            </w:tcBorders>
            <w:vAlign w:val="center"/>
          </w:tcPr>
          <w:p w14:paraId="2D38D135">
            <w:pPr>
              <w:widowControl w:val="0"/>
              <w:jc w:val="center"/>
              <w:rPr>
                <w:kern w:val="0"/>
              </w:rPr>
            </w:pPr>
            <w:r>
              <w:rPr>
                <w:kern w:val="0"/>
              </w:rPr>
              <w:t>32-65μm</w:t>
            </w:r>
          </w:p>
        </w:tc>
        <w:tc>
          <w:tcPr>
            <w:tcW w:w="315" w:type="pct"/>
            <w:tcBorders>
              <w:top w:val="single" w:color="auto" w:sz="4" w:space="0"/>
              <w:left w:val="single" w:color="auto" w:sz="4" w:space="0"/>
              <w:bottom w:val="single" w:color="auto" w:sz="4" w:space="0"/>
              <w:right w:val="single" w:color="auto" w:sz="4" w:space="0"/>
            </w:tcBorders>
            <w:vAlign w:val="center"/>
          </w:tcPr>
          <w:p w14:paraId="77BEA25C">
            <w:pPr>
              <w:widowControl w:val="0"/>
              <w:jc w:val="center"/>
              <w:rPr>
                <w:kern w:val="0"/>
              </w:rPr>
            </w:pPr>
            <w:r>
              <w:rPr>
                <w:kern w:val="0"/>
              </w:rPr>
              <w:t>≥65μm</w:t>
            </w:r>
          </w:p>
        </w:tc>
        <w:tc>
          <w:tcPr>
            <w:tcW w:w="324" w:type="pct"/>
            <w:tcBorders>
              <w:top w:val="single" w:color="auto" w:sz="4" w:space="0"/>
              <w:left w:val="single" w:color="auto" w:sz="4" w:space="0"/>
              <w:bottom w:val="single" w:color="auto" w:sz="4" w:space="0"/>
              <w:right w:val="single" w:color="auto" w:sz="4" w:space="0"/>
            </w:tcBorders>
            <w:vAlign w:val="center"/>
          </w:tcPr>
          <w:p w14:paraId="0EA0DB6E">
            <w:pPr>
              <w:widowControl w:val="0"/>
              <w:jc w:val="center"/>
              <w:rPr>
                <w:kern w:val="0"/>
              </w:rPr>
            </w:pPr>
            <w:r>
              <w:rPr>
                <w:kern w:val="0"/>
              </w:rPr>
              <w:t>≥80μm</w:t>
            </w:r>
          </w:p>
        </w:tc>
        <w:tc>
          <w:tcPr>
            <w:tcW w:w="338" w:type="pct"/>
            <w:vMerge w:val="continue"/>
            <w:tcBorders>
              <w:left w:val="single" w:color="auto" w:sz="4" w:space="0"/>
              <w:bottom w:val="single" w:color="auto" w:sz="4" w:space="0"/>
              <w:right w:val="single" w:color="auto" w:sz="4" w:space="0"/>
            </w:tcBorders>
          </w:tcPr>
          <w:p w14:paraId="0CB5064B">
            <w:pPr>
              <w:widowControl w:val="0"/>
              <w:jc w:val="left"/>
              <w:rPr>
                <w:kern w:val="0"/>
              </w:rPr>
            </w:pPr>
          </w:p>
        </w:tc>
        <w:tc>
          <w:tcPr>
            <w:tcW w:w="361" w:type="pct"/>
            <w:vMerge w:val="continue"/>
            <w:tcBorders>
              <w:left w:val="single" w:color="auto" w:sz="4" w:space="0"/>
              <w:bottom w:val="single" w:color="auto" w:sz="4" w:space="0"/>
              <w:right w:val="single" w:color="auto" w:sz="4" w:space="0"/>
            </w:tcBorders>
          </w:tcPr>
          <w:p w14:paraId="2755A486">
            <w:pPr>
              <w:widowControl w:val="0"/>
              <w:jc w:val="left"/>
              <w:rPr>
                <w:kern w:val="0"/>
              </w:rPr>
            </w:pPr>
          </w:p>
        </w:tc>
      </w:tr>
      <w:tr w14:paraId="5A887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374" w:type="pct"/>
            <w:tcBorders>
              <w:top w:val="single" w:color="auto" w:sz="4" w:space="0"/>
              <w:left w:val="single" w:color="auto" w:sz="4" w:space="0"/>
              <w:bottom w:val="single" w:color="auto" w:sz="4" w:space="0"/>
              <w:right w:val="single" w:color="auto" w:sz="4" w:space="0"/>
            </w:tcBorders>
            <w:vAlign w:val="center"/>
          </w:tcPr>
          <w:p w14:paraId="63A2CBBF">
            <w:pPr>
              <w:widowControl w:val="0"/>
              <w:jc w:val="center"/>
              <w:rPr>
                <w:kern w:val="0"/>
              </w:rPr>
            </w:pPr>
            <w:r>
              <w:rPr>
                <w:kern w:val="0"/>
              </w:rPr>
              <w:t>原灰</w:t>
            </w:r>
          </w:p>
        </w:tc>
        <w:tc>
          <w:tcPr>
            <w:tcW w:w="512" w:type="pct"/>
            <w:tcBorders>
              <w:top w:val="single" w:color="auto" w:sz="4" w:space="0"/>
              <w:left w:val="single" w:color="auto" w:sz="4" w:space="0"/>
              <w:bottom w:val="single" w:color="auto" w:sz="4" w:space="0"/>
              <w:right w:val="single" w:color="auto" w:sz="4" w:space="0"/>
            </w:tcBorders>
            <w:vAlign w:val="center"/>
          </w:tcPr>
          <w:p w14:paraId="776F5A04">
            <w:pPr>
              <w:widowControl w:val="0"/>
              <w:jc w:val="center"/>
              <w:rPr>
                <w:kern w:val="0"/>
              </w:rPr>
            </w:pPr>
            <w:r>
              <w:rPr>
                <w:kern w:val="0"/>
              </w:rPr>
              <w:t>VHF</w:t>
            </w:r>
          </w:p>
        </w:tc>
        <w:tc>
          <w:tcPr>
            <w:tcW w:w="370" w:type="pct"/>
            <w:tcBorders>
              <w:top w:val="single" w:color="auto" w:sz="4" w:space="0"/>
              <w:left w:val="single" w:color="auto" w:sz="4" w:space="0"/>
              <w:bottom w:val="single" w:color="auto" w:sz="4" w:space="0"/>
              <w:right w:val="single" w:color="auto" w:sz="4" w:space="0"/>
            </w:tcBorders>
            <w:vAlign w:val="center"/>
          </w:tcPr>
          <w:p w14:paraId="05DD406C">
            <w:pPr>
              <w:widowControl w:val="0"/>
              <w:jc w:val="center"/>
              <w:rPr>
                <w:kern w:val="0"/>
              </w:rPr>
            </w:pPr>
            <w:r>
              <w:rPr>
                <w:kern w:val="0"/>
              </w:rPr>
              <w:t>21.8</w:t>
            </w:r>
          </w:p>
        </w:tc>
        <w:tc>
          <w:tcPr>
            <w:tcW w:w="223" w:type="pct"/>
            <w:tcBorders>
              <w:top w:val="single" w:color="auto" w:sz="4" w:space="0"/>
              <w:left w:val="single" w:color="auto" w:sz="4" w:space="0"/>
              <w:bottom w:val="single" w:color="auto" w:sz="4" w:space="0"/>
              <w:right w:val="single" w:color="auto" w:sz="4" w:space="0"/>
            </w:tcBorders>
            <w:vAlign w:val="center"/>
          </w:tcPr>
          <w:p w14:paraId="13FD112E">
            <w:pPr>
              <w:widowControl w:val="0"/>
              <w:jc w:val="center"/>
              <w:rPr>
                <w:kern w:val="0"/>
              </w:rPr>
            </w:pPr>
            <w:r>
              <w:rPr>
                <w:kern w:val="0"/>
              </w:rPr>
              <w:t>1.3</w:t>
            </w:r>
          </w:p>
        </w:tc>
        <w:tc>
          <w:tcPr>
            <w:tcW w:w="223" w:type="pct"/>
            <w:tcBorders>
              <w:top w:val="single" w:color="auto" w:sz="4" w:space="0"/>
              <w:left w:val="single" w:color="auto" w:sz="4" w:space="0"/>
              <w:bottom w:val="single" w:color="auto" w:sz="4" w:space="0"/>
              <w:right w:val="single" w:color="auto" w:sz="4" w:space="0"/>
            </w:tcBorders>
            <w:vAlign w:val="center"/>
          </w:tcPr>
          <w:p w14:paraId="6E88D00C">
            <w:pPr>
              <w:widowControl w:val="0"/>
              <w:jc w:val="center"/>
              <w:rPr>
                <w:kern w:val="0"/>
              </w:rPr>
            </w:pPr>
            <w:r>
              <w:rPr>
                <w:kern w:val="0"/>
              </w:rPr>
              <w:t>5.6</w:t>
            </w:r>
          </w:p>
        </w:tc>
        <w:tc>
          <w:tcPr>
            <w:tcW w:w="223" w:type="pct"/>
            <w:tcBorders>
              <w:top w:val="single" w:color="auto" w:sz="4" w:space="0"/>
              <w:left w:val="single" w:color="auto" w:sz="4" w:space="0"/>
              <w:bottom w:val="single" w:color="auto" w:sz="4" w:space="0"/>
              <w:right w:val="single" w:color="auto" w:sz="4" w:space="0"/>
            </w:tcBorders>
            <w:vAlign w:val="center"/>
          </w:tcPr>
          <w:p w14:paraId="11A2615C">
            <w:pPr>
              <w:widowControl w:val="0"/>
              <w:jc w:val="center"/>
              <w:rPr>
                <w:kern w:val="0"/>
              </w:rPr>
            </w:pPr>
            <w:r>
              <w:rPr>
                <w:kern w:val="0"/>
              </w:rPr>
              <w:t>17.8</w:t>
            </w:r>
          </w:p>
        </w:tc>
        <w:tc>
          <w:tcPr>
            <w:tcW w:w="223" w:type="pct"/>
            <w:tcBorders>
              <w:top w:val="single" w:color="auto" w:sz="4" w:space="0"/>
              <w:left w:val="single" w:color="auto" w:sz="4" w:space="0"/>
              <w:bottom w:val="single" w:color="auto" w:sz="4" w:space="0"/>
              <w:right w:val="single" w:color="auto" w:sz="4" w:space="0"/>
            </w:tcBorders>
            <w:vAlign w:val="center"/>
          </w:tcPr>
          <w:p w14:paraId="1D7DC9C9">
            <w:pPr>
              <w:widowControl w:val="0"/>
              <w:jc w:val="center"/>
              <w:rPr>
                <w:kern w:val="0"/>
              </w:rPr>
            </w:pPr>
            <w:r>
              <w:rPr>
                <w:kern w:val="0"/>
              </w:rPr>
              <w:t>44.8</w:t>
            </w:r>
          </w:p>
        </w:tc>
        <w:tc>
          <w:tcPr>
            <w:tcW w:w="229" w:type="pct"/>
            <w:tcBorders>
              <w:top w:val="single" w:color="auto" w:sz="4" w:space="0"/>
              <w:left w:val="single" w:color="auto" w:sz="4" w:space="0"/>
              <w:bottom w:val="single" w:color="auto" w:sz="4" w:space="0"/>
              <w:right w:val="single" w:color="auto" w:sz="4" w:space="0"/>
            </w:tcBorders>
            <w:vAlign w:val="center"/>
          </w:tcPr>
          <w:p w14:paraId="7DB2E2CE">
            <w:pPr>
              <w:widowControl w:val="0"/>
              <w:jc w:val="center"/>
              <w:rPr>
                <w:kern w:val="0"/>
              </w:rPr>
            </w:pPr>
            <w:r>
              <w:rPr>
                <w:kern w:val="0"/>
              </w:rPr>
              <w:t>79.6</w:t>
            </w:r>
          </w:p>
        </w:tc>
        <w:tc>
          <w:tcPr>
            <w:tcW w:w="315" w:type="pct"/>
            <w:tcBorders>
              <w:top w:val="single" w:color="auto" w:sz="4" w:space="0"/>
              <w:left w:val="single" w:color="auto" w:sz="4" w:space="0"/>
              <w:bottom w:val="single" w:color="auto" w:sz="4" w:space="0"/>
              <w:right w:val="single" w:color="auto" w:sz="4" w:space="0"/>
            </w:tcBorders>
            <w:vAlign w:val="center"/>
          </w:tcPr>
          <w:p w14:paraId="52B40148">
            <w:pPr>
              <w:widowControl w:val="0"/>
              <w:jc w:val="center"/>
              <w:rPr>
                <w:kern w:val="0"/>
              </w:rPr>
            </w:pPr>
            <w:r>
              <w:rPr>
                <w:kern w:val="0"/>
              </w:rPr>
              <w:t>15.1</w:t>
            </w:r>
          </w:p>
        </w:tc>
        <w:tc>
          <w:tcPr>
            <w:tcW w:w="315" w:type="pct"/>
            <w:tcBorders>
              <w:top w:val="single" w:color="auto" w:sz="4" w:space="0"/>
              <w:left w:val="single" w:color="auto" w:sz="4" w:space="0"/>
              <w:bottom w:val="single" w:color="auto" w:sz="4" w:space="0"/>
              <w:right w:val="single" w:color="auto" w:sz="4" w:space="0"/>
            </w:tcBorders>
            <w:vAlign w:val="center"/>
          </w:tcPr>
          <w:p w14:paraId="5EA1F827">
            <w:pPr>
              <w:widowControl w:val="0"/>
              <w:jc w:val="center"/>
              <w:rPr>
                <w:kern w:val="0"/>
              </w:rPr>
            </w:pPr>
            <w:r>
              <w:rPr>
                <w:kern w:val="0"/>
              </w:rPr>
              <w:t>75.3</w:t>
            </w:r>
          </w:p>
        </w:tc>
        <w:tc>
          <w:tcPr>
            <w:tcW w:w="315" w:type="pct"/>
            <w:tcBorders>
              <w:top w:val="single" w:color="auto" w:sz="4" w:space="0"/>
              <w:left w:val="single" w:color="auto" w:sz="4" w:space="0"/>
              <w:bottom w:val="single" w:color="auto" w:sz="4" w:space="0"/>
              <w:right w:val="single" w:color="auto" w:sz="4" w:space="0"/>
            </w:tcBorders>
            <w:vAlign w:val="center"/>
          </w:tcPr>
          <w:p w14:paraId="06B9D793">
            <w:pPr>
              <w:widowControl w:val="0"/>
              <w:jc w:val="center"/>
              <w:rPr>
                <w:kern w:val="0"/>
              </w:rPr>
            </w:pPr>
            <w:r>
              <w:rPr>
                <w:kern w:val="0"/>
              </w:rPr>
              <w:t>50.4</w:t>
            </w:r>
          </w:p>
        </w:tc>
        <w:tc>
          <w:tcPr>
            <w:tcW w:w="340" w:type="pct"/>
            <w:tcBorders>
              <w:top w:val="single" w:color="auto" w:sz="4" w:space="0"/>
              <w:left w:val="single" w:color="auto" w:sz="4" w:space="0"/>
              <w:bottom w:val="single" w:color="auto" w:sz="4" w:space="0"/>
              <w:right w:val="single" w:color="auto" w:sz="4" w:space="0"/>
            </w:tcBorders>
            <w:vAlign w:val="center"/>
          </w:tcPr>
          <w:p w14:paraId="228FC8FE">
            <w:pPr>
              <w:widowControl w:val="0"/>
              <w:jc w:val="center"/>
              <w:rPr>
                <w:kern w:val="0"/>
              </w:rPr>
            </w:pPr>
            <w:r>
              <w:rPr>
                <w:kern w:val="0"/>
              </w:rPr>
              <w:t>19.1</w:t>
            </w:r>
          </w:p>
        </w:tc>
        <w:tc>
          <w:tcPr>
            <w:tcW w:w="315" w:type="pct"/>
            <w:tcBorders>
              <w:top w:val="single" w:color="auto" w:sz="4" w:space="0"/>
              <w:left w:val="single" w:color="auto" w:sz="4" w:space="0"/>
              <w:bottom w:val="single" w:color="auto" w:sz="4" w:space="0"/>
              <w:right w:val="single" w:color="auto" w:sz="4" w:space="0"/>
            </w:tcBorders>
            <w:vAlign w:val="center"/>
          </w:tcPr>
          <w:p w14:paraId="011E80A9">
            <w:pPr>
              <w:widowControl w:val="0"/>
              <w:jc w:val="center"/>
              <w:rPr>
                <w:kern w:val="0"/>
              </w:rPr>
            </w:pPr>
            <w:r>
              <w:rPr>
                <w:kern w:val="0"/>
              </w:rPr>
              <w:t>15.3</w:t>
            </w:r>
          </w:p>
        </w:tc>
        <w:tc>
          <w:tcPr>
            <w:tcW w:w="324" w:type="pct"/>
            <w:tcBorders>
              <w:top w:val="single" w:color="auto" w:sz="4" w:space="0"/>
              <w:left w:val="single" w:color="auto" w:sz="4" w:space="0"/>
              <w:bottom w:val="single" w:color="auto" w:sz="4" w:space="0"/>
              <w:right w:val="single" w:color="auto" w:sz="4" w:space="0"/>
            </w:tcBorders>
            <w:vAlign w:val="center"/>
          </w:tcPr>
          <w:p w14:paraId="0A3A7258">
            <w:pPr>
              <w:widowControl w:val="0"/>
              <w:jc w:val="center"/>
              <w:rPr>
                <w:kern w:val="0"/>
              </w:rPr>
            </w:pPr>
            <w:r>
              <w:rPr>
                <w:kern w:val="0"/>
              </w:rPr>
              <w:t>10.0</w:t>
            </w:r>
          </w:p>
        </w:tc>
        <w:tc>
          <w:tcPr>
            <w:tcW w:w="338" w:type="pct"/>
            <w:tcBorders>
              <w:top w:val="single" w:color="auto" w:sz="4" w:space="0"/>
              <w:left w:val="single" w:color="auto" w:sz="4" w:space="0"/>
              <w:bottom w:val="single" w:color="auto" w:sz="4" w:space="0"/>
              <w:right w:val="single" w:color="auto" w:sz="4" w:space="0"/>
            </w:tcBorders>
            <w:vAlign w:val="center"/>
          </w:tcPr>
          <w:p w14:paraId="1BD65C30">
            <w:pPr>
              <w:widowControl w:val="0"/>
              <w:jc w:val="center"/>
              <w:rPr>
                <w:kern w:val="0"/>
              </w:rPr>
            </w:pPr>
            <w:r>
              <w:rPr>
                <w:kern w:val="0"/>
              </w:rPr>
              <w:t>29.4</w:t>
            </w:r>
          </w:p>
        </w:tc>
        <w:tc>
          <w:tcPr>
            <w:tcW w:w="361" w:type="pct"/>
            <w:tcBorders>
              <w:top w:val="single" w:color="auto" w:sz="4" w:space="0"/>
              <w:left w:val="single" w:color="auto" w:sz="4" w:space="0"/>
              <w:bottom w:val="single" w:color="auto" w:sz="4" w:space="0"/>
              <w:right w:val="single" w:color="auto" w:sz="4" w:space="0"/>
            </w:tcBorders>
            <w:vAlign w:val="center"/>
          </w:tcPr>
          <w:p w14:paraId="507DE858">
            <w:pPr>
              <w:widowControl w:val="0"/>
              <w:jc w:val="center"/>
              <w:rPr>
                <w:kern w:val="0"/>
              </w:rPr>
            </w:pPr>
            <w:r>
              <w:rPr>
                <w:kern w:val="0"/>
              </w:rPr>
              <w:t>0.791</w:t>
            </w:r>
          </w:p>
        </w:tc>
      </w:tr>
      <w:tr w14:paraId="24B21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74" w:type="pct"/>
            <w:vMerge w:val="restart"/>
            <w:tcBorders>
              <w:top w:val="nil"/>
              <w:left w:val="single" w:color="auto" w:sz="4" w:space="0"/>
              <w:bottom w:val="single" w:color="auto" w:sz="4" w:space="0"/>
              <w:right w:val="single" w:color="auto" w:sz="4" w:space="0"/>
            </w:tcBorders>
            <w:vAlign w:val="center"/>
          </w:tcPr>
          <w:p w14:paraId="7D60AF0C">
            <w:pPr>
              <w:widowControl w:val="0"/>
              <w:jc w:val="center"/>
              <w:rPr>
                <w:kern w:val="0"/>
              </w:rPr>
            </w:pPr>
            <w:r>
              <w:rPr>
                <w:kern w:val="0"/>
              </w:rPr>
              <w:t>物理改性粉煤灰</w:t>
            </w:r>
          </w:p>
        </w:tc>
        <w:tc>
          <w:tcPr>
            <w:tcW w:w="512" w:type="pct"/>
            <w:tcBorders>
              <w:top w:val="single" w:color="auto" w:sz="4" w:space="0"/>
              <w:left w:val="single" w:color="auto" w:sz="4" w:space="0"/>
              <w:bottom w:val="single" w:color="auto" w:sz="4" w:space="0"/>
              <w:right w:val="single" w:color="auto" w:sz="4" w:space="0"/>
            </w:tcBorders>
            <w:vAlign w:val="center"/>
          </w:tcPr>
          <w:p w14:paraId="01285527">
            <w:pPr>
              <w:widowControl w:val="0"/>
              <w:spacing w:line="240" w:lineRule="auto"/>
              <w:jc w:val="center"/>
              <w:rPr>
                <w:kern w:val="0"/>
              </w:rPr>
            </w:pPr>
            <w:r>
              <w:rPr>
                <w:kern w:val="0"/>
              </w:rPr>
              <w:t>VHSF2-700-120-135-10</w:t>
            </w:r>
          </w:p>
        </w:tc>
        <w:tc>
          <w:tcPr>
            <w:tcW w:w="370" w:type="pct"/>
            <w:tcBorders>
              <w:top w:val="single" w:color="auto" w:sz="4" w:space="0"/>
              <w:left w:val="single" w:color="auto" w:sz="4" w:space="0"/>
              <w:bottom w:val="single" w:color="auto" w:sz="4" w:space="0"/>
              <w:right w:val="single" w:color="auto" w:sz="4" w:space="0"/>
            </w:tcBorders>
            <w:vAlign w:val="center"/>
          </w:tcPr>
          <w:p w14:paraId="03575AF7">
            <w:pPr>
              <w:widowControl w:val="0"/>
              <w:jc w:val="center"/>
              <w:rPr>
                <w:kern w:val="0"/>
              </w:rPr>
            </w:pPr>
            <w:r>
              <w:rPr>
                <w:kern w:val="0"/>
              </w:rPr>
              <w:t>0.9</w:t>
            </w:r>
          </w:p>
        </w:tc>
        <w:tc>
          <w:tcPr>
            <w:tcW w:w="223" w:type="pct"/>
            <w:tcBorders>
              <w:top w:val="single" w:color="auto" w:sz="4" w:space="0"/>
              <w:left w:val="single" w:color="auto" w:sz="4" w:space="0"/>
              <w:bottom w:val="single" w:color="auto" w:sz="4" w:space="0"/>
              <w:right w:val="single" w:color="auto" w:sz="4" w:space="0"/>
            </w:tcBorders>
            <w:vAlign w:val="center"/>
          </w:tcPr>
          <w:p w14:paraId="49496623">
            <w:pPr>
              <w:widowControl w:val="0"/>
              <w:jc w:val="center"/>
              <w:rPr>
                <w:kern w:val="0"/>
              </w:rPr>
            </w:pPr>
            <w:r>
              <w:rPr>
                <w:kern w:val="0"/>
              </w:rPr>
              <w:t>0.8</w:t>
            </w:r>
          </w:p>
        </w:tc>
        <w:tc>
          <w:tcPr>
            <w:tcW w:w="223" w:type="pct"/>
            <w:tcBorders>
              <w:top w:val="single" w:color="auto" w:sz="4" w:space="0"/>
              <w:left w:val="single" w:color="auto" w:sz="4" w:space="0"/>
              <w:bottom w:val="single" w:color="auto" w:sz="4" w:space="0"/>
              <w:right w:val="single" w:color="auto" w:sz="4" w:space="0"/>
            </w:tcBorders>
            <w:vAlign w:val="center"/>
          </w:tcPr>
          <w:p w14:paraId="1FE018BA">
            <w:pPr>
              <w:widowControl w:val="0"/>
              <w:jc w:val="center"/>
              <w:rPr>
                <w:kern w:val="0"/>
              </w:rPr>
            </w:pPr>
            <w:r>
              <w:rPr>
                <w:kern w:val="0"/>
              </w:rPr>
              <w:t>2.5</w:t>
            </w:r>
          </w:p>
        </w:tc>
        <w:tc>
          <w:tcPr>
            <w:tcW w:w="223" w:type="pct"/>
            <w:tcBorders>
              <w:top w:val="single" w:color="auto" w:sz="4" w:space="0"/>
              <w:left w:val="single" w:color="auto" w:sz="4" w:space="0"/>
              <w:bottom w:val="single" w:color="auto" w:sz="4" w:space="0"/>
              <w:right w:val="single" w:color="auto" w:sz="4" w:space="0"/>
            </w:tcBorders>
            <w:vAlign w:val="center"/>
          </w:tcPr>
          <w:p w14:paraId="73216126">
            <w:pPr>
              <w:widowControl w:val="0"/>
              <w:jc w:val="center"/>
              <w:rPr>
                <w:kern w:val="0"/>
              </w:rPr>
            </w:pPr>
            <w:r>
              <w:rPr>
                <w:kern w:val="0"/>
              </w:rPr>
              <w:t>7.1</w:t>
            </w:r>
          </w:p>
        </w:tc>
        <w:tc>
          <w:tcPr>
            <w:tcW w:w="223" w:type="pct"/>
            <w:tcBorders>
              <w:top w:val="single" w:color="auto" w:sz="4" w:space="0"/>
              <w:left w:val="single" w:color="auto" w:sz="4" w:space="0"/>
              <w:bottom w:val="single" w:color="auto" w:sz="4" w:space="0"/>
              <w:right w:val="single" w:color="auto" w:sz="4" w:space="0"/>
            </w:tcBorders>
            <w:vAlign w:val="center"/>
          </w:tcPr>
          <w:p w14:paraId="6298D6E1">
            <w:pPr>
              <w:widowControl w:val="0"/>
              <w:jc w:val="center"/>
              <w:rPr>
                <w:kern w:val="0"/>
              </w:rPr>
            </w:pPr>
            <w:r>
              <w:rPr>
                <w:kern w:val="0"/>
              </w:rPr>
              <w:t>15.9</w:t>
            </w:r>
          </w:p>
        </w:tc>
        <w:tc>
          <w:tcPr>
            <w:tcW w:w="229" w:type="pct"/>
            <w:tcBorders>
              <w:top w:val="single" w:color="auto" w:sz="4" w:space="0"/>
              <w:left w:val="single" w:color="auto" w:sz="4" w:space="0"/>
              <w:bottom w:val="single" w:color="auto" w:sz="4" w:space="0"/>
              <w:right w:val="single" w:color="auto" w:sz="4" w:space="0"/>
            </w:tcBorders>
            <w:vAlign w:val="center"/>
          </w:tcPr>
          <w:p w14:paraId="1C785B1E">
            <w:pPr>
              <w:widowControl w:val="0"/>
              <w:jc w:val="center"/>
              <w:rPr>
                <w:kern w:val="0"/>
              </w:rPr>
            </w:pPr>
            <w:r>
              <w:rPr>
                <w:kern w:val="0"/>
              </w:rPr>
              <w:t>25.2</w:t>
            </w:r>
          </w:p>
        </w:tc>
        <w:tc>
          <w:tcPr>
            <w:tcW w:w="315" w:type="pct"/>
            <w:tcBorders>
              <w:top w:val="single" w:color="auto" w:sz="4" w:space="0"/>
              <w:left w:val="single" w:color="auto" w:sz="4" w:space="0"/>
              <w:bottom w:val="single" w:color="auto" w:sz="4" w:space="0"/>
              <w:right w:val="single" w:color="auto" w:sz="4" w:space="0"/>
            </w:tcBorders>
            <w:vAlign w:val="center"/>
          </w:tcPr>
          <w:p w14:paraId="504C5E85">
            <w:pPr>
              <w:widowControl w:val="0"/>
              <w:jc w:val="center"/>
              <w:rPr>
                <w:kern w:val="0"/>
              </w:rPr>
            </w:pPr>
            <w:r>
              <w:rPr>
                <w:kern w:val="0"/>
              </w:rPr>
              <w:t>27.1</w:t>
            </w:r>
          </w:p>
        </w:tc>
        <w:tc>
          <w:tcPr>
            <w:tcW w:w="315" w:type="pct"/>
            <w:tcBorders>
              <w:top w:val="single" w:color="auto" w:sz="4" w:space="0"/>
              <w:left w:val="single" w:color="auto" w:sz="4" w:space="0"/>
              <w:bottom w:val="single" w:color="auto" w:sz="4" w:space="0"/>
              <w:right w:val="single" w:color="auto" w:sz="4" w:space="0"/>
            </w:tcBorders>
            <w:vAlign w:val="center"/>
          </w:tcPr>
          <w:p w14:paraId="1CD2FF3E">
            <w:pPr>
              <w:widowControl w:val="0"/>
              <w:jc w:val="center"/>
              <w:rPr>
                <w:kern w:val="0"/>
              </w:rPr>
            </w:pPr>
            <w:r>
              <w:rPr>
                <w:kern w:val="0"/>
              </w:rPr>
              <w:t>98.1</w:t>
            </w:r>
          </w:p>
        </w:tc>
        <w:tc>
          <w:tcPr>
            <w:tcW w:w="315" w:type="pct"/>
            <w:tcBorders>
              <w:top w:val="single" w:color="auto" w:sz="4" w:space="0"/>
              <w:left w:val="single" w:color="auto" w:sz="4" w:space="0"/>
              <w:bottom w:val="single" w:color="auto" w:sz="4" w:space="0"/>
              <w:right w:val="single" w:color="auto" w:sz="4" w:space="0"/>
            </w:tcBorders>
            <w:vAlign w:val="center"/>
          </w:tcPr>
          <w:p w14:paraId="6596A8B7">
            <w:pPr>
              <w:widowControl w:val="0"/>
              <w:jc w:val="center"/>
              <w:rPr>
                <w:kern w:val="0"/>
              </w:rPr>
            </w:pPr>
            <w:r>
              <w:rPr>
                <w:kern w:val="0"/>
              </w:rPr>
              <w:t>66.7</w:t>
            </w:r>
          </w:p>
        </w:tc>
        <w:tc>
          <w:tcPr>
            <w:tcW w:w="340" w:type="pct"/>
            <w:tcBorders>
              <w:top w:val="single" w:color="auto" w:sz="4" w:space="0"/>
              <w:left w:val="single" w:color="auto" w:sz="4" w:space="0"/>
              <w:bottom w:val="single" w:color="auto" w:sz="4" w:space="0"/>
              <w:right w:val="single" w:color="auto" w:sz="4" w:space="0"/>
            </w:tcBorders>
            <w:vAlign w:val="center"/>
          </w:tcPr>
          <w:p w14:paraId="5FD3615A">
            <w:pPr>
              <w:widowControl w:val="0"/>
              <w:jc w:val="center"/>
              <w:rPr>
                <w:kern w:val="0"/>
              </w:rPr>
            </w:pPr>
            <w:r>
              <w:rPr>
                <w:kern w:val="0"/>
              </w:rPr>
              <w:t>5.7</w:t>
            </w:r>
          </w:p>
        </w:tc>
        <w:tc>
          <w:tcPr>
            <w:tcW w:w="315" w:type="pct"/>
            <w:tcBorders>
              <w:top w:val="single" w:color="auto" w:sz="4" w:space="0"/>
              <w:left w:val="single" w:color="auto" w:sz="4" w:space="0"/>
              <w:bottom w:val="single" w:color="auto" w:sz="4" w:space="0"/>
              <w:right w:val="single" w:color="auto" w:sz="4" w:space="0"/>
            </w:tcBorders>
            <w:vAlign w:val="center"/>
          </w:tcPr>
          <w:p w14:paraId="4B4A909D">
            <w:pPr>
              <w:widowControl w:val="0"/>
              <w:jc w:val="center"/>
              <w:rPr>
                <w:kern w:val="0"/>
              </w:rPr>
            </w:pPr>
            <w:r>
              <w:rPr>
                <w:kern w:val="0"/>
              </w:rPr>
              <w:t>0.5</w:t>
            </w:r>
          </w:p>
        </w:tc>
        <w:tc>
          <w:tcPr>
            <w:tcW w:w="324" w:type="pct"/>
            <w:tcBorders>
              <w:top w:val="single" w:color="auto" w:sz="4" w:space="0"/>
              <w:left w:val="single" w:color="auto" w:sz="4" w:space="0"/>
              <w:bottom w:val="single" w:color="auto" w:sz="4" w:space="0"/>
              <w:right w:val="single" w:color="auto" w:sz="4" w:space="0"/>
            </w:tcBorders>
            <w:vAlign w:val="center"/>
          </w:tcPr>
          <w:p w14:paraId="069AA57D">
            <w:pPr>
              <w:widowControl w:val="0"/>
              <w:jc w:val="center"/>
              <w:rPr>
                <w:kern w:val="0"/>
              </w:rPr>
            </w:pPr>
            <w:r>
              <w:rPr>
                <w:kern w:val="0"/>
              </w:rPr>
              <w:t>0.2</w:t>
            </w:r>
          </w:p>
        </w:tc>
        <w:tc>
          <w:tcPr>
            <w:tcW w:w="338" w:type="pct"/>
            <w:tcBorders>
              <w:top w:val="single" w:color="auto" w:sz="4" w:space="0"/>
              <w:left w:val="single" w:color="auto" w:sz="4" w:space="0"/>
              <w:bottom w:val="single" w:color="auto" w:sz="4" w:space="0"/>
              <w:right w:val="single" w:color="auto" w:sz="4" w:space="0"/>
            </w:tcBorders>
            <w:vAlign w:val="center"/>
          </w:tcPr>
          <w:p w14:paraId="2B167DA8">
            <w:pPr>
              <w:widowControl w:val="0"/>
              <w:jc w:val="center"/>
              <w:rPr>
                <w:kern w:val="0"/>
              </w:rPr>
            </w:pPr>
            <w:r>
              <w:rPr>
                <w:kern w:val="0"/>
              </w:rPr>
              <w:t>10.4</w:t>
            </w:r>
          </w:p>
        </w:tc>
        <w:tc>
          <w:tcPr>
            <w:tcW w:w="361" w:type="pct"/>
            <w:tcBorders>
              <w:top w:val="single" w:color="auto" w:sz="4" w:space="0"/>
              <w:left w:val="single" w:color="auto" w:sz="4" w:space="0"/>
              <w:bottom w:val="single" w:color="auto" w:sz="4" w:space="0"/>
              <w:right w:val="single" w:color="auto" w:sz="4" w:space="0"/>
            </w:tcBorders>
            <w:vAlign w:val="center"/>
          </w:tcPr>
          <w:p w14:paraId="0F98E9B2">
            <w:pPr>
              <w:widowControl w:val="0"/>
              <w:jc w:val="center"/>
              <w:rPr>
                <w:kern w:val="0"/>
              </w:rPr>
            </w:pPr>
            <w:r>
              <w:rPr>
                <w:kern w:val="0"/>
              </w:rPr>
              <w:t>0.918</w:t>
            </w:r>
          </w:p>
        </w:tc>
      </w:tr>
      <w:tr w14:paraId="459D8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374" w:type="pct"/>
            <w:vMerge w:val="continue"/>
            <w:tcBorders>
              <w:top w:val="nil"/>
              <w:left w:val="single" w:color="auto" w:sz="4" w:space="0"/>
              <w:bottom w:val="single" w:color="auto" w:sz="4" w:space="0"/>
              <w:right w:val="single" w:color="auto" w:sz="4" w:space="0"/>
            </w:tcBorders>
            <w:vAlign w:val="center"/>
          </w:tcPr>
          <w:p w14:paraId="1E44E47E">
            <w:pPr>
              <w:widowControl/>
              <w:jc w:val="left"/>
              <w:rPr>
                <w:kern w:val="0"/>
              </w:rPr>
            </w:pPr>
          </w:p>
        </w:tc>
        <w:tc>
          <w:tcPr>
            <w:tcW w:w="512" w:type="pct"/>
            <w:tcBorders>
              <w:top w:val="single" w:color="auto" w:sz="4" w:space="0"/>
              <w:left w:val="single" w:color="auto" w:sz="4" w:space="0"/>
              <w:bottom w:val="single" w:color="auto" w:sz="4" w:space="0"/>
              <w:right w:val="single" w:color="auto" w:sz="4" w:space="0"/>
            </w:tcBorders>
            <w:vAlign w:val="center"/>
          </w:tcPr>
          <w:p w14:paraId="53FE86D8">
            <w:pPr>
              <w:widowControl w:val="0"/>
              <w:spacing w:line="240" w:lineRule="auto"/>
              <w:jc w:val="center"/>
              <w:rPr>
                <w:kern w:val="0"/>
              </w:rPr>
            </w:pPr>
            <w:r>
              <w:rPr>
                <w:kern w:val="0"/>
              </w:rPr>
              <w:t>VHCF2-320-100-135-10</w:t>
            </w:r>
          </w:p>
        </w:tc>
        <w:tc>
          <w:tcPr>
            <w:tcW w:w="370" w:type="pct"/>
            <w:tcBorders>
              <w:top w:val="single" w:color="auto" w:sz="4" w:space="0"/>
              <w:left w:val="single" w:color="auto" w:sz="4" w:space="0"/>
              <w:bottom w:val="single" w:color="auto" w:sz="4" w:space="0"/>
              <w:right w:val="single" w:color="auto" w:sz="4" w:space="0"/>
            </w:tcBorders>
            <w:vAlign w:val="center"/>
          </w:tcPr>
          <w:p w14:paraId="6687FAD6">
            <w:pPr>
              <w:widowControl w:val="0"/>
              <w:jc w:val="center"/>
              <w:rPr>
                <w:kern w:val="0"/>
              </w:rPr>
            </w:pPr>
            <w:r>
              <w:rPr>
                <w:kern w:val="0"/>
              </w:rPr>
              <w:t>0.9</w:t>
            </w:r>
          </w:p>
        </w:tc>
        <w:tc>
          <w:tcPr>
            <w:tcW w:w="223" w:type="pct"/>
            <w:tcBorders>
              <w:top w:val="single" w:color="auto" w:sz="4" w:space="0"/>
              <w:left w:val="single" w:color="auto" w:sz="4" w:space="0"/>
              <w:bottom w:val="single" w:color="auto" w:sz="4" w:space="0"/>
              <w:right w:val="single" w:color="auto" w:sz="4" w:space="0"/>
            </w:tcBorders>
            <w:vAlign w:val="center"/>
          </w:tcPr>
          <w:p w14:paraId="09AED2F0">
            <w:pPr>
              <w:widowControl w:val="0"/>
              <w:jc w:val="center"/>
              <w:rPr>
                <w:kern w:val="0"/>
              </w:rPr>
            </w:pPr>
            <w:r>
              <w:rPr>
                <w:kern w:val="0"/>
              </w:rPr>
              <w:t>0.9</w:t>
            </w:r>
          </w:p>
        </w:tc>
        <w:tc>
          <w:tcPr>
            <w:tcW w:w="223" w:type="pct"/>
            <w:tcBorders>
              <w:top w:val="single" w:color="auto" w:sz="4" w:space="0"/>
              <w:left w:val="single" w:color="auto" w:sz="4" w:space="0"/>
              <w:bottom w:val="single" w:color="auto" w:sz="4" w:space="0"/>
              <w:right w:val="single" w:color="auto" w:sz="4" w:space="0"/>
            </w:tcBorders>
            <w:vAlign w:val="center"/>
          </w:tcPr>
          <w:p w14:paraId="12DF09F2">
            <w:pPr>
              <w:widowControl w:val="0"/>
              <w:jc w:val="center"/>
              <w:rPr>
                <w:kern w:val="0"/>
              </w:rPr>
            </w:pPr>
            <w:r>
              <w:rPr>
                <w:kern w:val="0"/>
              </w:rPr>
              <w:t>3.2</w:t>
            </w:r>
          </w:p>
        </w:tc>
        <w:tc>
          <w:tcPr>
            <w:tcW w:w="223" w:type="pct"/>
            <w:tcBorders>
              <w:top w:val="single" w:color="auto" w:sz="4" w:space="0"/>
              <w:left w:val="single" w:color="auto" w:sz="4" w:space="0"/>
              <w:bottom w:val="single" w:color="auto" w:sz="4" w:space="0"/>
              <w:right w:val="single" w:color="auto" w:sz="4" w:space="0"/>
            </w:tcBorders>
            <w:vAlign w:val="center"/>
          </w:tcPr>
          <w:p w14:paraId="118D4AB4">
            <w:pPr>
              <w:widowControl w:val="0"/>
              <w:jc w:val="center"/>
              <w:rPr>
                <w:kern w:val="0"/>
              </w:rPr>
            </w:pPr>
            <w:r>
              <w:rPr>
                <w:kern w:val="0"/>
              </w:rPr>
              <w:t>10.0</w:t>
            </w:r>
          </w:p>
        </w:tc>
        <w:tc>
          <w:tcPr>
            <w:tcW w:w="223" w:type="pct"/>
            <w:tcBorders>
              <w:top w:val="single" w:color="auto" w:sz="4" w:space="0"/>
              <w:left w:val="single" w:color="auto" w:sz="4" w:space="0"/>
              <w:bottom w:val="single" w:color="auto" w:sz="4" w:space="0"/>
              <w:right w:val="single" w:color="auto" w:sz="4" w:space="0"/>
            </w:tcBorders>
            <w:vAlign w:val="center"/>
          </w:tcPr>
          <w:p w14:paraId="7477A14C">
            <w:pPr>
              <w:widowControl w:val="0"/>
              <w:jc w:val="center"/>
              <w:rPr>
                <w:kern w:val="0"/>
              </w:rPr>
            </w:pPr>
            <w:r>
              <w:rPr>
                <w:kern w:val="0"/>
              </w:rPr>
              <w:t>22.4</w:t>
            </w:r>
          </w:p>
        </w:tc>
        <w:tc>
          <w:tcPr>
            <w:tcW w:w="229" w:type="pct"/>
            <w:tcBorders>
              <w:top w:val="single" w:color="auto" w:sz="4" w:space="0"/>
              <w:left w:val="single" w:color="auto" w:sz="4" w:space="0"/>
              <w:bottom w:val="single" w:color="auto" w:sz="4" w:space="0"/>
              <w:right w:val="single" w:color="auto" w:sz="4" w:space="0"/>
            </w:tcBorders>
            <w:vAlign w:val="center"/>
          </w:tcPr>
          <w:p w14:paraId="2C73CC82">
            <w:pPr>
              <w:widowControl w:val="0"/>
              <w:jc w:val="center"/>
              <w:rPr>
                <w:kern w:val="0"/>
              </w:rPr>
            </w:pPr>
            <w:r>
              <w:rPr>
                <w:kern w:val="0"/>
              </w:rPr>
              <w:t>35.6</w:t>
            </w:r>
          </w:p>
        </w:tc>
        <w:tc>
          <w:tcPr>
            <w:tcW w:w="315" w:type="pct"/>
            <w:tcBorders>
              <w:top w:val="single" w:color="auto" w:sz="4" w:space="0"/>
              <w:left w:val="single" w:color="auto" w:sz="4" w:space="0"/>
              <w:bottom w:val="single" w:color="auto" w:sz="4" w:space="0"/>
              <w:right w:val="single" w:color="auto" w:sz="4" w:space="0"/>
            </w:tcBorders>
            <w:vAlign w:val="center"/>
          </w:tcPr>
          <w:p w14:paraId="71796047">
            <w:pPr>
              <w:widowControl w:val="0"/>
              <w:jc w:val="center"/>
              <w:rPr>
                <w:kern w:val="0"/>
              </w:rPr>
            </w:pPr>
            <w:r>
              <w:rPr>
                <w:kern w:val="0"/>
              </w:rPr>
              <w:t>22.8</w:t>
            </w:r>
          </w:p>
        </w:tc>
        <w:tc>
          <w:tcPr>
            <w:tcW w:w="315" w:type="pct"/>
            <w:tcBorders>
              <w:top w:val="single" w:color="auto" w:sz="4" w:space="0"/>
              <w:left w:val="single" w:color="auto" w:sz="4" w:space="0"/>
              <w:bottom w:val="single" w:color="auto" w:sz="4" w:space="0"/>
              <w:right w:val="single" w:color="auto" w:sz="4" w:space="0"/>
            </w:tcBorders>
            <w:vAlign w:val="center"/>
          </w:tcPr>
          <w:p w14:paraId="586F87D1">
            <w:pPr>
              <w:widowControl w:val="0"/>
              <w:jc w:val="center"/>
              <w:rPr>
                <w:kern w:val="0"/>
              </w:rPr>
            </w:pPr>
            <w:r>
              <w:rPr>
                <w:kern w:val="0"/>
              </w:rPr>
              <w:t>94.8</w:t>
            </w:r>
          </w:p>
        </w:tc>
        <w:tc>
          <w:tcPr>
            <w:tcW w:w="315" w:type="pct"/>
            <w:tcBorders>
              <w:top w:val="single" w:color="auto" w:sz="4" w:space="0"/>
              <w:left w:val="single" w:color="auto" w:sz="4" w:space="0"/>
              <w:bottom w:val="single" w:color="auto" w:sz="4" w:space="0"/>
              <w:right w:val="single" w:color="auto" w:sz="4" w:space="0"/>
            </w:tcBorders>
            <w:vAlign w:val="center"/>
          </w:tcPr>
          <w:p w14:paraId="49BA38DD">
            <w:pPr>
              <w:widowControl w:val="0"/>
              <w:jc w:val="center"/>
              <w:rPr>
                <w:kern w:val="0"/>
              </w:rPr>
            </w:pPr>
            <w:r>
              <w:rPr>
                <w:kern w:val="0"/>
              </w:rPr>
              <w:t>64.2</w:t>
            </w:r>
          </w:p>
        </w:tc>
        <w:tc>
          <w:tcPr>
            <w:tcW w:w="340" w:type="pct"/>
            <w:tcBorders>
              <w:top w:val="single" w:color="auto" w:sz="4" w:space="0"/>
              <w:left w:val="single" w:color="auto" w:sz="4" w:space="0"/>
              <w:bottom w:val="single" w:color="auto" w:sz="4" w:space="0"/>
              <w:right w:val="single" w:color="auto" w:sz="4" w:space="0"/>
            </w:tcBorders>
            <w:vAlign w:val="center"/>
          </w:tcPr>
          <w:p w14:paraId="08244B42">
            <w:pPr>
              <w:widowControl w:val="0"/>
              <w:jc w:val="center"/>
              <w:rPr>
                <w:kern w:val="0"/>
              </w:rPr>
            </w:pPr>
            <w:r>
              <w:rPr>
                <w:kern w:val="0"/>
              </w:rPr>
              <w:t>11.5</w:t>
            </w:r>
          </w:p>
        </w:tc>
        <w:tc>
          <w:tcPr>
            <w:tcW w:w="315" w:type="pct"/>
            <w:tcBorders>
              <w:top w:val="single" w:color="auto" w:sz="4" w:space="0"/>
              <w:left w:val="single" w:color="auto" w:sz="4" w:space="0"/>
              <w:bottom w:val="single" w:color="auto" w:sz="4" w:space="0"/>
              <w:right w:val="single" w:color="auto" w:sz="4" w:space="0"/>
            </w:tcBorders>
            <w:vAlign w:val="center"/>
          </w:tcPr>
          <w:p w14:paraId="7367D5B3">
            <w:pPr>
              <w:widowControl w:val="0"/>
              <w:jc w:val="center"/>
              <w:rPr>
                <w:kern w:val="0"/>
              </w:rPr>
            </w:pPr>
            <w:r>
              <w:rPr>
                <w:kern w:val="0"/>
              </w:rPr>
              <w:t>1.5</w:t>
            </w:r>
          </w:p>
        </w:tc>
        <w:tc>
          <w:tcPr>
            <w:tcW w:w="324" w:type="pct"/>
            <w:tcBorders>
              <w:top w:val="single" w:color="auto" w:sz="4" w:space="0"/>
              <w:left w:val="single" w:color="auto" w:sz="4" w:space="0"/>
              <w:bottom w:val="single" w:color="auto" w:sz="4" w:space="0"/>
              <w:right w:val="single" w:color="auto" w:sz="4" w:space="0"/>
            </w:tcBorders>
            <w:vAlign w:val="center"/>
          </w:tcPr>
          <w:p w14:paraId="717E331A">
            <w:pPr>
              <w:widowControl w:val="0"/>
              <w:jc w:val="center"/>
              <w:rPr>
                <w:kern w:val="0"/>
              </w:rPr>
            </w:pPr>
            <w:r>
              <w:rPr>
                <w:kern w:val="0"/>
              </w:rPr>
              <w:t>0.5</w:t>
            </w:r>
          </w:p>
        </w:tc>
        <w:tc>
          <w:tcPr>
            <w:tcW w:w="338" w:type="pct"/>
            <w:tcBorders>
              <w:top w:val="single" w:color="auto" w:sz="4" w:space="0"/>
              <w:left w:val="single" w:color="auto" w:sz="4" w:space="0"/>
              <w:bottom w:val="single" w:color="auto" w:sz="4" w:space="0"/>
              <w:right w:val="single" w:color="auto" w:sz="4" w:space="0"/>
            </w:tcBorders>
            <w:vAlign w:val="center"/>
          </w:tcPr>
          <w:p w14:paraId="4E83134E">
            <w:pPr>
              <w:widowControl w:val="0"/>
              <w:jc w:val="center"/>
              <w:rPr>
                <w:kern w:val="0"/>
              </w:rPr>
            </w:pPr>
            <w:r>
              <w:rPr>
                <w:kern w:val="0"/>
              </w:rPr>
              <w:t>13.7</w:t>
            </w:r>
          </w:p>
        </w:tc>
        <w:tc>
          <w:tcPr>
            <w:tcW w:w="361" w:type="pct"/>
            <w:tcBorders>
              <w:top w:val="single" w:color="auto" w:sz="4" w:space="0"/>
              <w:left w:val="single" w:color="auto" w:sz="4" w:space="0"/>
              <w:bottom w:val="single" w:color="auto" w:sz="4" w:space="0"/>
              <w:right w:val="single" w:color="auto" w:sz="4" w:space="0"/>
            </w:tcBorders>
            <w:vAlign w:val="center"/>
          </w:tcPr>
          <w:p w14:paraId="49AE7385">
            <w:pPr>
              <w:widowControl w:val="0"/>
              <w:jc w:val="center"/>
              <w:rPr>
                <w:kern w:val="0"/>
              </w:rPr>
            </w:pPr>
            <w:r>
              <w:rPr>
                <w:kern w:val="0"/>
              </w:rPr>
              <w:t>0.899</w:t>
            </w:r>
          </w:p>
        </w:tc>
      </w:tr>
    </w:tbl>
    <w:p w14:paraId="471A7B39">
      <w:pPr>
        <w:pStyle w:val="37"/>
        <w:ind w:left="0"/>
      </w:pPr>
      <w:r>
        <w:t>备注：</w:t>
      </w:r>
      <w:r>
        <w:fldChar w:fldCharType="begin"/>
      </w:r>
      <w:r>
        <w:instrText xml:space="preserve"> REF _Ref230704443 \h  \* MERGEFORMAT </w:instrText>
      </w:r>
      <w:r>
        <w:fldChar w:fldCharType="separate"/>
      </w:r>
      <w:r>
        <w:rPr>
          <w:rFonts w:hint="eastAsia"/>
        </w:rPr>
        <w:t>表</w:t>
      </w:r>
      <w:r>
        <w:t>1</w:t>
      </w:r>
      <w:r>
        <w:fldChar w:fldCharType="end"/>
      </w:r>
      <w:r>
        <w:t>中VHSF2-700-120-135-10为采用钢球研磨介质生产；VHCF2-320-100-135-10采用刚玉球研磨介质生产（表7.2和表7.3相同）。</w:t>
      </w:r>
    </w:p>
    <w:p w14:paraId="1FBF9AE9">
      <w:pPr>
        <w:pStyle w:val="37"/>
        <w:autoSpaceDE w:val="0"/>
        <w:ind w:left="0"/>
        <w:jc w:val="center"/>
      </w:pPr>
      <w:bookmarkStart w:id="1" w:name="_Ref230705065"/>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2</w:t>
      </w:r>
      <w:r>
        <w:fldChar w:fldCharType="end"/>
      </w:r>
      <w:bookmarkEnd w:id="1"/>
      <w:r>
        <w:t>福建漳州后石电厂粉煤灰物理性能</w:t>
      </w:r>
    </w:p>
    <w:tbl>
      <w:tblPr>
        <w:tblStyle w:val="4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410"/>
        <w:gridCol w:w="1834"/>
        <w:gridCol w:w="1767"/>
        <w:gridCol w:w="1764"/>
        <w:gridCol w:w="2191"/>
        <w:gridCol w:w="917"/>
        <w:gridCol w:w="1339"/>
        <w:gridCol w:w="915"/>
        <w:gridCol w:w="831"/>
      </w:tblGrid>
      <w:tr w14:paraId="0D6B5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4" w:hRule="atLeast"/>
        </w:trPr>
        <w:tc>
          <w:tcPr>
            <w:tcW w:w="634" w:type="pct"/>
            <w:vMerge w:val="restart"/>
            <w:tcBorders>
              <w:top w:val="single" w:color="auto" w:sz="4" w:space="0"/>
              <w:left w:val="single" w:color="auto" w:sz="4" w:space="0"/>
              <w:right w:val="single" w:color="auto" w:sz="4" w:space="0"/>
            </w:tcBorders>
            <w:vAlign w:val="center"/>
          </w:tcPr>
          <w:p w14:paraId="14A69059">
            <w:pPr>
              <w:widowControl w:val="0"/>
              <w:autoSpaceDE w:val="0"/>
              <w:spacing w:line="240" w:lineRule="auto"/>
              <w:jc w:val="center"/>
              <w:rPr>
                <w:kern w:val="0"/>
              </w:rPr>
            </w:pPr>
            <w:r>
              <w:rPr>
                <w:kern w:val="0"/>
              </w:rPr>
              <w:t>试验序号</w:t>
            </w:r>
          </w:p>
        </w:tc>
        <w:tc>
          <w:tcPr>
            <w:tcW w:w="685" w:type="pct"/>
            <w:vMerge w:val="restart"/>
            <w:tcBorders>
              <w:top w:val="single" w:color="auto" w:sz="4" w:space="0"/>
              <w:left w:val="single" w:color="auto" w:sz="4" w:space="0"/>
              <w:right w:val="single" w:color="auto" w:sz="4" w:space="0"/>
            </w:tcBorders>
            <w:vAlign w:val="center"/>
          </w:tcPr>
          <w:p w14:paraId="54FC668B">
            <w:pPr>
              <w:widowControl w:val="0"/>
              <w:autoSpaceDE w:val="0"/>
              <w:spacing w:line="240" w:lineRule="auto"/>
              <w:jc w:val="center"/>
              <w:rPr>
                <w:kern w:val="0"/>
              </w:rPr>
            </w:pPr>
            <w:r>
              <w:rPr>
                <w:kern w:val="0"/>
              </w:rPr>
              <w:t>45μm筛余（%）</w:t>
            </w:r>
          </w:p>
        </w:tc>
        <w:tc>
          <w:tcPr>
            <w:tcW w:w="661" w:type="pct"/>
            <w:vMerge w:val="restart"/>
            <w:tcBorders>
              <w:top w:val="single" w:color="auto" w:sz="4" w:space="0"/>
              <w:left w:val="single" w:color="auto" w:sz="4" w:space="0"/>
              <w:right w:val="single" w:color="auto" w:sz="4" w:space="0"/>
            </w:tcBorders>
            <w:vAlign w:val="center"/>
          </w:tcPr>
          <w:p w14:paraId="71F6D5E2">
            <w:pPr>
              <w:widowControl w:val="0"/>
              <w:autoSpaceDE w:val="0"/>
              <w:spacing w:line="240" w:lineRule="auto"/>
              <w:jc w:val="center"/>
              <w:rPr>
                <w:kern w:val="0"/>
              </w:rPr>
            </w:pPr>
            <w:r>
              <w:rPr>
                <w:kern w:val="0"/>
              </w:rPr>
              <w:t>密度（g/cm</w:t>
            </w:r>
            <w:r>
              <w:rPr>
                <w:kern w:val="0"/>
                <w:vertAlign w:val="superscript"/>
              </w:rPr>
              <w:t>3</w:t>
            </w:r>
            <w:r>
              <w:rPr>
                <w:kern w:val="0"/>
              </w:rPr>
              <w:t>）</w:t>
            </w:r>
          </w:p>
        </w:tc>
        <w:tc>
          <w:tcPr>
            <w:tcW w:w="660" w:type="pct"/>
            <w:vMerge w:val="restart"/>
            <w:tcBorders>
              <w:top w:val="single" w:color="auto" w:sz="4" w:space="0"/>
              <w:left w:val="single" w:color="auto" w:sz="4" w:space="0"/>
              <w:right w:val="single" w:color="auto" w:sz="4" w:space="0"/>
            </w:tcBorders>
            <w:vAlign w:val="center"/>
          </w:tcPr>
          <w:p w14:paraId="257834D1">
            <w:pPr>
              <w:widowControl w:val="0"/>
              <w:autoSpaceDE w:val="0"/>
              <w:spacing w:line="240" w:lineRule="auto"/>
              <w:jc w:val="center"/>
              <w:rPr>
                <w:kern w:val="0"/>
              </w:rPr>
            </w:pPr>
            <w:r>
              <w:rPr>
                <w:kern w:val="0"/>
              </w:rPr>
              <w:t>需水量比（%）</w:t>
            </w:r>
          </w:p>
        </w:tc>
        <w:tc>
          <w:tcPr>
            <w:tcW w:w="813" w:type="pct"/>
            <w:vMerge w:val="restart"/>
            <w:tcBorders>
              <w:top w:val="single" w:color="auto" w:sz="4" w:space="0"/>
              <w:left w:val="single" w:color="auto" w:sz="4" w:space="0"/>
              <w:right w:val="single" w:color="auto" w:sz="4" w:space="0"/>
            </w:tcBorders>
            <w:vAlign w:val="center"/>
          </w:tcPr>
          <w:p w14:paraId="0F8EF731">
            <w:pPr>
              <w:widowControl w:val="0"/>
              <w:autoSpaceDE w:val="0"/>
              <w:spacing w:line="240" w:lineRule="auto"/>
              <w:jc w:val="center"/>
              <w:rPr>
                <w:kern w:val="0"/>
              </w:rPr>
            </w:pPr>
            <w:r>
              <w:rPr>
                <w:kern w:val="0"/>
              </w:rPr>
              <w:t>强度活性指数（%）</w:t>
            </w:r>
          </w:p>
        </w:tc>
        <w:tc>
          <w:tcPr>
            <w:tcW w:w="357" w:type="pct"/>
            <w:vMerge w:val="restart"/>
            <w:tcBorders>
              <w:top w:val="single" w:color="auto" w:sz="4" w:space="0"/>
              <w:left w:val="single" w:color="auto" w:sz="4" w:space="0"/>
              <w:right w:val="single" w:color="auto" w:sz="4" w:space="0"/>
            </w:tcBorders>
            <w:vAlign w:val="center"/>
          </w:tcPr>
          <w:p w14:paraId="7AADCE4A">
            <w:pPr>
              <w:widowControl w:val="0"/>
              <w:autoSpaceDE w:val="0"/>
              <w:spacing w:line="240" w:lineRule="auto"/>
              <w:jc w:val="center"/>
              <w:rPr>
                <w:kern w:val="0"/>
              </w:rPr>
            </w:pPr>
            <w:r>
              <w:rPr>
                <w:kern w:val="0"/>
              </w:rPr>
              <w:t>安定性</w:t>
            </w:r>
          </w:p>
        </w:tc>
        <w:tc>
          <w:tcPr>
            <w:tcW w:w="508" w:type="pct"/>
            <w:vMerge w:val="restart"/>
            <w:tcBorders>
              <w:top w:val="single" w:color="auto" w:sz="4" w:space="0"/>
              <w:left w:val="single" w:color="auto" w:sz="4" w:space="0"/>
              <w:right w:val="single" w:color="auto" w:sz="4" w:space="0"/>
            </w:tcBorders>
            <w:vAlign w:val="center"/>
          </w:tcPr>
          <w:p w14:paraId="5D0EE7FF">
            <w:pPr>
              <w:widowControl w:val="0"/>
              <w:autoSpaceDE w:val="0"/>
              <w:spacing w:line="240" w:lineRule="auto"/>
              <w:jc w:val="center"/>
              <w:rPr>
                <w:kern w:val="0"/>
              </w:rPr>
            </w:pPr>
            <w:r>
              <w:rPr>
                <w:kern w:val="0"/>
              </w:rPr>
              <w:t>氮吸附/B法</w:t>
            </w:r>
          </w:p>
        </w:tc>
        <w:tc>
          <w:tcPr>
            <w:tcW w:w="682" w:type="pct"/>
            <w:gridSpan w:val="2"/>
            <w:tcBorders>
              <w:top w:val="single" w:color="auto" w:sz="4" w:space="0"/>
              <w:left w:val="single" w:color="auto" w:sz="4" w:space="0"/>
              <w:bottom w:val="single" w:color="auto" w:sz="4" w:space="0"/>
              <w:right w:val="single" w:color="auto" w:sz="4" w:space="0"/>
            </w:tcBorders>
            <w:vAlign w:val="center"/>
          </w:tcPr>
          <w:p w14:paraId="7ADD0DE7">
            <w:pPr>
              <w:widowControl w:val="0"/>
              <w:autoSpaceDE w:val="0"/>
              <w:spacing w:line="240" w:lineRule="auto"/>
              <w:jc w:val="center"/>
              <w:rPr>
                <w:kern w:val="0"/>
              </w:rPr>
            </w:pPr>
            <w:r>
              <w:rPr>
                <w:kern w:val="0"/>
              </w:rPr>
              <w:t>勃氏法</w:t>
            </w:r>
          </w:p>
        </w:tc>
      </w:tr>
      <w:tr w14:paraId="4AA6E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trPr>
        <w:tc>
          <w:tcPr>
            <w:tcW w:w="634" w:type="pct"/>
            <w:vMerge w:val="continue"/>
            <w:tcBorders>
              <w:left w:val="single" w:color="auto" w:sz="4" w:space="0"/>
              <w:bottom w:val="single" w:color="auto" w:sz="4" w:space="0"/>
              <w:right w:val="single" w:color="auto" w:sz="4" w:space="0"/>
            </w:tcBorders>
            <w:vAlign w:val="center"/>
          </w:tcPr>
          <w:p w14:paraId="08121120">
            <w:pPr>
              <w:widowControl w:val="0"/>
              <w:autoSpaceDE w:val="0"/>
              <w:spacing w:line="240" w:lineRule="auto"/>
              <w:jc w:val="center"/>
              <w:rPr>
                <w:kern w:val="0"/>
              </w:rPr>
            </w:pPr>
          </w:p>
        </w:tc>
        <w:tc>
          <w:tcPr>
            <w:tcW w:w="685" w:type="pct"/>
            <w:vMerge w:val="continue"/>
            <w:tcBorders>
              <w:left w:val="single" w:color="auto" w:sz="4" w:space="0"/>
              <w:bottom w:val="single" w:color="auto" w:sz="4" w:space="0"/>
              <w:right w:val="single" w:color="auto" w:sz="4" w:space="0"/>
            </w:tcBorders>
            <w:vAlign w:val="center"/>
          </w:tcPr>
          <w:p w14:paraId="3827B64B">
            <w:pPr>
              <w:widowControl w:val="0"/>
              <w:autoSpaceDE w:val="0"/>
              <w:spacing w:line="240" w:lineRule="auto"/>
              <w:jc w:val="center"/>
              <w:rPr>
                <w:kern w:val="0"/>
              </w:rPr>
            </w:pPr>
          </w:p>
        </w:tc>
        <w:tc>
          <w:tcPr>
            <w:tcW w:w="661" w:type="pct"/>
            <w:vMerge w:val="continue"/>
            <w:tcBorders>
              <w:left w:val="single" w:color="auto" w:sz="4" w:space="0"/>
              <w:bottom w:val="single" w:color="auto" w:sz="4" w:space="0"/>
              <w:right w:val="single" w:color="auto" w:sz="4" w:space="0"/>
            </w:tcBorders>
            <w:vAlign w:val="center"/>
          </w:tcPr>
          <w:p w14:paraId="66892187">
            <w:pPr>
              <w:widowControl w:val="0"/>
              <w:autoSpaceDE w:val="0"/>
              <w:spacing w:line="240" w:lineRule="auto"/>
              <w:jc w:val="center"/>
              <w:rPr>
                <w:kern w:val="0"/>
              </w:rPr>
            </w:pPr>
          </w:p>
        </w:tc>
        <w:tc>
          <w:tcPr>
            <w:tcW w:w="660" w:type="pct"/>
            <w:vMerge w:val="continue"/>
            <w:tcBorders>
              <w:left w:val="single" w:color="auto" w:sz="4" w:space="0"/>
              <w:bottom w:val="single" w:color="auto" w:sz="4" w:space="0"/>
              <w:right w:val="single" w:color="auto" w:sz="4" w:space="0"/>
            </w:tcBorders>
            <w:vAlign w:val="center"/>
          </w:tcPr>
          <w:p w14:paraId="35D8206B">
            <w:pPr>
              <w:widowControl w:val="0"/>
              <w:autoSpaceDE w:val="0"/>
              <w:spacing w:line="240" w:lineRule="auto"/>
              <w:jc w:val="center"/>
              <w:rPr>
                <w:kern w:val="0"/>
              </w:rPr>
            </w:pPr>
          </w:p>
        </w:tc>
        <w:tc>
          <w:tcPr>
            <w:tcW w:w="813" w:type="pct"/>
            <w:vMerge w:val="continue"/>
            <w:tcBorders>
              <w:left w:val="single" w:color="auto" w:sz="4" w:space="0"/>
              <w:bottom w:val="single" w:color="auto" w:sz="4" w:space="0"/>
              <w:right w:val="single" w:color="auto" w:sz="4" w:space="0"/>
            </w:tcBorders>
            <w:vAlign w:val="center"/>
          </w:tcPr>
          <w:p w14:paraId="3F6083AF">
            <w:pPr>
              <w:widowControl w:val="0"/>
              <w:autoSpaceDE w:val="0"/>
              <w:spacing w:line="240" w:lineRule="auto"/>
              <w:jc w:val="center"/>
              <w:rPr>
                <w:kern w:val="0"/>
              </w:rPr>
            </w:pPr>
          </w:p>
        </w:tc>
        <w:tc>
          <w:tcPr>
            <w:tcW w:w="357" w:type="pct"/>
            <w:vMerge w:val="continue"/>
            <w:tcBorders>
              <w:left w:val="single" w:color="auto" w:sz="4" w:space="0"/>
              <w:bottom w:val="single" w:color="auto" w:sz="4" w:space="0"/>
              <w:right w:val="single" w:color="auto" w:sz="4" w:space="0"/>
            </w:tcBorders>
            <w:vAlign w:val="center"/>
          </w:tcPr>
          <w:p w14:paraId="74A8B01B">
            <w:pPr>
              <w:widowControl w:val="0"/>
              <w:autoSpaceDE w:val="0"/>
              <w:spacing w:line="240" w:lineRule="auto"/>
              <w:jc w:val="center"/>
              <w:rPr>
                <w:kern w:val="0"/>
              </w:rPr>
            </w:pPr>
          </w:p>
        </w:tc>
        <w:tc>
          <w:tcPr>
            <w:tcW w:w="508" w:type="pct"/>
            <w:vMerge w:val="continue"/>
            <w:tcBorders>
              <w:left w:val="single" w:color="auto" w:sz="4" w:space="0"/>
              <w:bottom w:val="single" w:color="auto" w:sz="4" w:space="0"/>
              <w:right w:val="single" w:color="auto" w:sz="4" w:space="0"/>
            </w:tcBorders>
            <w:vAlign w:val="center"/>
          </w:tcPr>
          <w:p w14:paraId="0678EC5B">
            <w:pPr>
              <w:widowControl w:val="0"/>
              <w:autoSpaceDE w:val="0"/>
              <w:spacing w:line="240" w:lineRule="auto"/>
              <w:jc w:val="center"/>
              <w:rPr>
                <w:kern w:val="0"/>
              </w:rPr>
            </w:pPr>
          </w:p>
        </w:tc>
        <w:tc>
          <w:tcPr>
            <w:tcW w:w="356" w:type="pct"/>
            <w:tcBorders>
              <w:top w:val="single" w:color="auto" w:sz="4" w:space="0"/>
              <w:left w:val="single" w:color="auto" w:sz="4" w:space="0"/>
              <w:bottom w:val="single" w:color="auto" w:sz="4" w:space="0"/>
              <w:right w:val="single" w:color="auto" w:sz="4" w:space="0"/>
            </w:tcBorders>
            <w:vAlign w:val="center"/>
          </w:tcPr>
          <w:p w14:paraId="42C4937E">
            <w:pPr>
              <w:widowControl w:val="0"/>
              <w:autoSpaceDE w:val="0"/>
              <w:spacing w:line="240" w:lineRule="auto"/>
              <w:jc w:val="center"/>
              <w:rPr>
                <w:kern w:val="0"/>
              </w:rPr>
            </w:pPr>
            <w:r>
              <w:rPr>
                <w:kern w:val="0"/>
              </w:rPr>
              <w:t>ε0.50</w:t>
            </w:r>
          </w:p>
        </w:tc>
        <w:tc>
          <w:tcPr>
            <w:tcW w:w="326" w:type="pct"/>
            <w:tcBorders>
              <w:top w:val="single" w:color="auto" w:sz="4" w:space="0"/>
              <w:left w:val="single" w:color="auto" w:sz="4" w:space="0"/>
              <w:bottom w:val="single" w:color="auto" w:sz="4" w:space="0"/>
              <w:right w:val="single" w:color="auto" w:sz="4" w:space="0"/>
            </w:tcBorders>
            <w:vAlign w:val="center"/>
          </w:tcPr>
          <w:p w14:paraId="68100BF0">
            <w:pPr>
              <w:widowControl w:val="0"/>
              <w:autoSpaceDE w:val="0"/>
              <w:spacing w:line="240" w:lineRule="auto"/>
              <w:jc w:val="center"/>
              <w:rPr>
                <w:kern w:val="0"/>
              </w:rPr>
            </w:pPr>
            <w:r>
              <w:rPr>
                <w:kern w:val="0"/>
              </w:rPr>
              <w:t>ε0.53</w:t>
            </w:r>
          </w:p>
        </w:tc>
      </w:tr>
      <w:tr w14:paraId="4BD8C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trPr>
        <w:tc>
          <w:tcPr>
            <w:tcW w:w="634" w:type="pct"/>
            <w:tcBorders>
              <w:top w:val="single" w:color="auto" w:sz="4" w:space="0"/>
              <w:left w:val="single" w:color="auto" w:sz="4" w:space="0"/>
              <w:bottom w:val="single" w:color="auto" w:sz="4" w:space="0"/>
              <w:right w:val="single" w:color="auto" w:sz="4" w:space="0"/>
            </w:tcBorders>
            <w:vAlign w:val="center"/>
          </w:tcPr>
          <w:p w14:paraId="6A618D5A">
            <w:pPr>
              <w:widowControl w:val="0"/>
              <w:autoSpaceDE w:val="0"/>
              <w:spacing w:line="240" w:lineRule="auto"/>
              <w:jc w:val="center"/>
              <w:rPr>
                <w:kern w:val="0"/>
              </w:rPr>
            </w:pPr>
            <w:r>
              <w:rPr>
                <w:kern w:val="0"/>
              </w:rPr>
              <w:t>VHF（二级灰）</w:t>
            </w:r>
          </w:p>
        </w:tc>
        <w:tc>
          <w:tcPr>
            <w:tcW w:w="685" w:type="pct"/>
            <w:tcBorders>
              <w:top w:val="single" w:color="auto" w:sz="4" w:space="0"/>
              <w:left w:val="single" w:color="auto" w:sz="4" w:space="0"/>
              <w:bottom w:val="single" w:color="auto" w:sz="4" w:space="0"/>
              <w:right w:val="single" w:color="auto" w:sz="4" w:space="0"/>
            </w:tcBorders>
            <w:vAlign w:val="center"/>
          </w:tcPr>
          <w:p w14:paraId="3B789B26">
            <w:pPr>
              <w:widowControl w:val="0"/>
              <w:autoSpaceDE w:val="0"/>
              <w:spacing w:line="240" w:lineRule="auto"/>
              <w:jc w:val="center"/>
              <w:rPr>
                <w:kern w:val="0"/>
              </w:rPr>
            </w:pPr>
            <w:r>
              <w:rPr>
                <w:kern w:val="0"/>
              </w:rPr>
              <w:t>21.8</w:t>
            </w:r>
          </w:p>
        </w:tc>
        <w:tc>
          <w:tcPr>
            <w:tcW w:w="661" w:type="pct"/>
            <w:tcBorders>
              <w:top w:val="single" w:color="auto" w:sz="4" w:space="0"/>
              <w:left w:val="single" w:color="auto" w:sz="4" w:space="0"/>
              <w:bottom w:val="single" w:color="auto" w:sz="4" w:space="0"/>
              <w:right w:val="single" w:color="auto" w:sz="4" w:space="0"/>
            </w:tcBorders>
            <w:vAlign w:val="center"/>
          </w:tcPr>
          <w:p w14:paraId="1CE4D866">
            <w:pPr>
              <w:widowControl w:val="0"/>
              <w:autoSpaceDE w:val="0"/>
              <w:spacing w:line="240" w:lineRule="auto"/>
              <w:jc w:val="center"/>
              <w:rPr>
                <w:kern w:val="0"/>
              </w:rPr>
            </w:pPr>
            <w:r>
              <w:rPr>
                <w:kern w:val="0"/>
              </w:rPr>
              <w:t>2.32</w:t>
            </w:r>
          </w:p>
        </w:tc>
        <w:tc>
          <w:tcPr>
            <w:tcW w:w="660" w:type="pct"/>
            <w:tcBorders>
              <w:top w:val="single" w:color="auto" w:sz="4" w:space="0"/>
              <w:left w:val="single" w:color="auto" w:sz="4" w:space="0"/>
              <w:bottom w:val="single" w:color="auto" w:sz="4" w:space="0"/>
              <w:right w:val="single" w:color="auto" w:sz="4" w:space="0"/>
            </w:tcBorders>
            <w:vAlign w:val="center"/>
          </w:tcPr>
          <w:p w14:paraId="124E817F">
            <w:pPr>
              <w:widowControl w:val="0"/>
              <w:autoSpaceDE w:val="0"/>
              <w:spacing w:line="240" w:lineRule="auto"/>
              <w:jc w:val="center"/>
              <w:rPr>
                <w:kern w:val="0"/>
              </w:rPr>
            </w:pPr>
            <w:r>
              <w:rPr>
                <w:kern w:val="0"/>
              </w:rPr>
              <w:t>96</w:t>
            </w:r>
          </w:p>
        </w:tc>
        <w:tc>
          <w:tcPr>
            <w:tcW w:w="813" w:type="pct"/>
            <w:tcBorders>
              <w:top w:val="single" w:color="auto" w:sz="4" w:space="0"/>
              <w:left w:val="single" w:color="auto" w:sz="4" w:space="0"/>
              <w:bottom w:val="single" w:color="auto" w:sz="4" w:space="0"/>
              <w:right w:val="single" w:color="auto" w:sz="4" w:space="0"/>
            </w:tcBorders>
            <w:vAlign w:val="center"/>
          </w:tcPr>
          <w:p w14:paraId="68CAA0B4">
            <w:pPr>
              <w:widowControl w:val="0"/>
              <w:autoSpaceDE w:val="0"/>
              <w:spacing w:line="240" w:lineRule="auto"/>
              <w:jc w:val="center"/>
              <w:rPr>
                <w:kern w:val="0"/>
              </w:rPr>
            </w:pPr>
            <w:r>
              <w:rPr>
                <w:kern w:val="0"/>
              </w:rPr>
              <w:t>80</w:t>
            </w:r>
          </w:p>
        </w:tc>
        <w:tc>
          <w:tcPr>
            <w:tcW w:w="357" w:type="pct"/>
            <w:tcBorders>
              <w:top w:val="single" w:color="auto" w:sz="4" w:space="0"/>
              <w:left w:val="single" w:color="auto" w:sz="4" w:space="0"/>
              <w:bottom w:val="single" w:color="auto" w:sz="4" w:space="0"/>
              <w:right w:val="single" w:color="auto" w:sz="4" w:space="0"/>
            </w:tcBorders>
            <w:vAlign w:val="center"/>
          </w:tcPr>
          <w:p w14:paraId="408402BD">
            <w:pPr>
              <w:widowControl w:val="0"/>
              <w:autoSpaceDE w:val="0"/>
              <w:spacing w:line="240" w:lineRule="auto"/>
              <w:jc w:val="center"/>
              <w:rPr>
                <w:kern w:val="0"/>
              </w:rPr>
            </w:pPr>
            <w:r>
              <w:rPr>
                <w:kern w:val="0"/>
              </w:rPr>
              <w:t>合格</w:t>
            </w:r>
          </w:p>
        </w:tc>
        <w:tc>
          <w:tcPr>
            <w:tcW w:w="508" w:type="pct"/>
            <w:tcBorders>
              <w:top w:val="single" w:color="auto" w:sz="4" w:space="0"/>
              <w:left w:val="single" w:color="auto" w:sz="4" w:space="0"/>
              <w:bottom w:val="single" w:color="auto" w:sz="4" w:space="0"/>
              <w:right w:val="single" w:color="auto" w:sz="4" w:space="0"/>
            </w:tcBorders>
            <w:vAlign w:val="center"/>
          </w:tcPr>
          <w:p w14:paraId="2369F556">
            <w:pPr>
              <w:widowControl w:val="0"/>
              <w:autoSpaceDE w:val="0"/>
              <w:spacing w:line="240" w:lineRule="auto"/>
              <w:jc w:val="center"/>
              <w:rPr>
                <w:kern w:val="0"/>
              </w:rPr>
            </w:pPr>
            <w:r>
              <w:rPr>
                <w:kern w:val="0"/>
              </w:rPr>
              <w:t>2518.98</w:t>
            </w:r>
          </w:p>
        </w:tc>
        <w:tc>
          <w:tcPr>
            <w:tcW w:w="356" w:type="pct"/>
            <w:tcBorders>
              <w:top w:val="single" w:color="auto" w:sz="4" w:space="0"/>
              <w:left w:val="single" w:color="auto" w:sz="4" w:space="0"/>
              <w:bottom w:val="single" w:color="auto" w:sz="4" w:space="0"/>
              <w:right w:val="single" w:color="auto" w:sz="4" w:space="0"/>
            </w:tcBorders>
            <w:vAlign w:val="center"/>
          </w:tcPr>
          <w:p w14:paraId="32F5B491">
            <w:pPr>
              <w:widowControl w:val="0"/>
              <w:autoSpaceDE w:val="0"/>
              <w:spacing w:line="240" w:lineRule="auto"/>
              <w:jc w:val="center"/>
              <w:rPr>
                <w:kern w:val="0"/>
              </w:rPr>
            </w:pPr>
            <w:r>
              <w:rPr>
                <w:kern w:val="0"/>
              </w:rPr>
              <w:t>339</w:t>
            </w:r>
          </w:p>
        </w:tc>
        <w:tc>
          <w:tcPr>
            <w:tcW w:w="326" w:type="pct"/>
            <w:tcBorders>
              <w:top w:val="single" w:color="auto" w:sz="4" w:space="0"/>
              <w:left w:val="single" w:color="auto" w:sz="4" w:space="0"/>
              <w:bottom w:val="single" w:color="auto" w:sz="4" w:space="0"/>
              <w:right w:val="single" w:color="auto" w:sz="4" w:space="0"/>
            </w:tcBorders>
            <w:vAlign w:val="center"/>
          </w:tcPr>
          <w:p w14:paraId="171CEDBA">
            <w:pPr>
              <w:widowControl w:val="0"/>
              <w:autoSpaceDE w:val="0"/>
              <w:spacing w:line="240" w:lineRule="auto"/>
              <w:jc w:val="center"/>
              <w:rPr>
                <w:kern w:val="0"/>
              </w:rPr>
            </w:pPr>
            <w:r>
              <w:rPr>
                <w:kern w:val="0"/>
              </w:rPr>
              <w:t>349</w:t>
            </w:r>
          </w:p>
        </w:tc>
      </w:tr>
      <w:tr w14:paraId="54BA8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634" w:type="pct"/>
            <w:tcBorders>
              <w:top w:val="single" w:color="auto" w:sz="4" w:space="0"/>
              <w:left w:val="single" w:color="auto" w:sz="4" w:space="0"/>
              <w:bottom w:val="single" w:color="auto" w:sz="4" w:space="0"/>
              <w:right w:val="single" w:color="auto" w:sz="4" w:space="0"/>
            </w:tcBorders>
            <w:vAlign w:val="center"/>
          </w:tcPr>
          <w:p w14:paraId="55ED9042">
            <w:pPr>
              <w:widowControl w:val="0"/>
              <w:autoSpaceDE w:val="0"/>
              <w:spacing w:line="240" w:lineRule="auto"/>
              <w:jc w:val="center"/>
              <w:rPr>
                <w:kern w:val="0"/>
              </w:rPr>
            </w:pPr>
            <w:r>
              <w:rPr>
                <w:kern w:val="0"/>
              </w:rPr>
              <w:t>VHSF2-700-120-135-10</w:t>
            </w:r>
          </w:p>
        </w:tc>
        <w:tc>
          <w:tcPr>
            <w:tcW w:w="685" w:type="pct"/>
            <w:tcBorders>
              <w:top w:val="single" w:color="auto" w:sz="4" w:space="0"/>
              <w:left w:val="single" w:color="auto" w:sz="4" w:space="0"/>
              <w:bottom w:val="single" w:color="auto" w:sz="4" w:space="0"/>
              <w:right w:val="single" w:color="auto" w:sz="4" w:space="0"/>
            </w:tcBorders>
            <w:vAlign w:val="center"/>
          </w:tcPr>
          <w:p w14:paraId="15C418FC">
            <w:pPr>
              <w:widowControl w:val="0"/>
              <w:autoSpaceDE w:val="0"/>
              <w:spacing w:line="240" w:lineRule="auto"/>
              <w:jc w:val="center"/>
              <w:rPr>
                <w:kern w:val="0"/>
              </w:rPr>
            </w:pPr>
            <w:r>
              <w:rPr>
                <w:kern w:val="0"/>
              </w:rPr>
              <w:t>0.9</w:t>
            </w:r>
          </w:p>
        </w:tc>
        <w:tc>
          <w:tcPr>
            <w:tcW w:w="661" w:type="pct"/>
            <w:tcBorders>
              <w:top w:val="single" w:color="auto" w:sz="4" w:space="0"/>
              <w:left w:val="single" w:color="auto" w:sz="4" w:space="0"/>
              <w:bottom w:val="single" w:color="auto" w:sz="4" w:space="0"/>
              <w:right w:val="single" w:color="auto" w:sz="4" w:space="0"/>
            </w:tcBorders>
            <w:vAlign w:val="center"/>
          </w:tcPr>
          <w:p w14:paraId="1EFF2955">
            <w:pPr>
              <w:widowControl w:val="0"/>
              <w:autoSpaceDE w:val="0"/>
              <w:spacing w:line="240" w:lineRule="auto"/>
              <w:jc w:val="center"/>
              <w:rPr>
                <w:kern w:val="0"/>
              </w:rPr>
            </w:pPr>
            <w:r>
              <w:rPr>
                <w:kern w:val="0"/>
              </w:rPr>
              <w:t>2.57</w:t>
            </w:r>
          </w:p>
        </w:tc>
        <w:tc>
          <w:tcPr>
            <w:tcW w:w="660" w:type="pct"/>
            <w:tcBorders>
              <w:top w:val="single" w:color="auto" w:sz="4" w:space="0"/>
              <w:left w:val="single" w:color="auto" w:sz="4" w:space="0"/>
              <w:bottom w:val="single" w:color="auto" w:sz="4" w:space="0"/>
              <w:right w:val="single" w:color="auto" w:sz="4" w:space="0"/>
            </w:tcBorders>
            <w:vAlign w:val="center"/>
          </w:tcPr>
          <w:p w14:paraId="3DE154AE">
            <w:pPr>
              <w:widowControl w:val="0"/>
              <w:autoSpaceDE w:val="0"/>
              <w:spacing w:line="240" w:lineRule="auto"/>
              <w:jc w:val="center"/>
              <w:rPr>
                <w:kern w:val="0"/>
              </w:rPr>
            </w:pPr>
            <w:r>
              <w:rPr>
                <w:kern w:val="0"/>
              </w:rPr>
              <w:t>95</w:t>
            </w:r>
          </w:p>
        </w:tc>
        <w:tc>
          <w:tcPr>
            <w:tcW w:w="813" w:type="pct"/>
            <w:tcBorders>
              <w:top w:val="single" w:color="auto" w:sz="4" w:space="0"/>
              <w:left w:val="single" w:color="auto" w:sz="4" w:space="0"/>
              <w:bottom w:val="single" w:color="auto" w:sz="4" w:space="0"/>
              <w:right w:val="single" w:color="auto" w:sz="4" w:space="0"/>
            </w:tcBorders>
            <w:vAlign w:val="center"/>
          </w:tcPr>
          <w:p w14:paraId="087A76E6">
            <w:pPr>
              <w:widowControl w:val="0"/>
              <w:autoSpaceDE w:val="0"/>
              <w:spacing w:line="240" w:lineRule="auto"/>
              <w:jc w:val="center"/>
              <w:rPr>
                <w:kern w:val="0"/>
              </w:rPr>
            </w:pPr>
            <w:r>
              <w:rPr>
                <w:kern w:val="0"/>
              </w:rPr>
              <w:t>85</w:t>
            </w:r>
          </w:p>
        </w:tc>
        <w:tc>
          <w:tcPr>
            <w:tcW w:w="357" w:type="pct"/>
            <w:tcBorders>
              <w:top w:val="single" w:color="auto" w:sz="4" w:space="0"/>
              <w:left w:val="single" w:color="auto" w:sz="4" w:space="0"/>
              <w:bottom w:val="single" w:color="auto" w:sz="4" w:space="0"/>
              <w:right w:val="single" w:color="auto" w:sz="4" w:space="0"/>
            </w:tcBorders>
            <w:vAlign w:val="center"/>
          </w:tcPr>
          <w:p w14:paraId="5D30074E">
            <w:pPr>
              <w:widowControl w:val="0"/>
              <w:autoSpaceDE w:val="0"/>
              <w:spacing w:line="240" w:lineRule="auto"/>
              <w:jc w:val="center"/>
              <w:rPr>
                <w:kern w:val="0"/>
              </w:rPr>
            </w:pPr>
            <w:r>
              <w:rPr>
                <w:kern w:val="0"/>
              </w:rPr>
              <w:t>合格</w:t>
            </w:r>
          </w:p>
        </w:tc>
        <w:tc>
          <w:tcPr>
            <w:tcW w:w="508" w:type="pct"/>
            <w:tcBorders>
              <w:top w:val="single" w:color="auto" w:sz="4" w:space="0"/>
              <w:left w:val="single" w:color="auto" w:sz="4" w:space="0"/>
              <w:bottom w:val="single" w:color="auto" w:sz="4" w:space="0"/>
              <w:right w:val="single" w:color="auto" w:sz="4" w:space="0"/>
            </w:tcBorders>
            <w:vAlign w:val="center"/>
          </w:tcPr>
          <w:p w14:paraId="16952C8E">
            <w:pPr>
              <w:widowControl w:val="0"/>
              <w:autoSpaceDE w:val="0"/>
              <w:spacing w:line="240" w:lineRule="auto"/>
              <w:jc w:val="center"/>
              <w:rPr>
                <w:kern w:val="0"/>
              </w:rPr>
            </w:pPr>
            <w:r>
              <w:rPr>
                <w:kern w:val="0"/>
              </w:rPr>
              <w:t>2602.54</w:t>
            </w:r>
          </w:p>
        </w:tc>
        <w:tc>
          <w:tcPr>
            <w:tcW w:w="356" w:type="pct"/>
            <w:tcBorders>
              <w:top w:val="single" w:color="auto" w:sz="4" w:space="0"/>
              <w:left w:val="single" w:color="auto" w:sz="4" w:space="0"/>
              <w:bottom w:val="single" w:color="auto" w:sz="4" w:space="0"/>
              <w:right w:val="single" w:color="auto" w:sz="4" w:space="0"/>
            </w:tcBorders>
            <w:vAlign w:val="center"/>
          </w:tcPr>
          <w:p w14:paraId="73DB08AB">
            <w:pPr>
              <w:widowControl w:val="0"/>
              <w:autoSpaceDE w:val="0"/>
              <w:spacing w:line="240" w:lineRule="auto"/>
              <w:jc w:val="center"/>
              <w:rPr>
                <w:kern w:val="0"/>
              </w:rPr>
            </w:pPr>
            <w:r>
              <w:rPr>
                <w:kern w:val="0"/>
              </w:rPr>
              <w:t>536</w:t>
            </w:r>
          </w:p>
        </w:tc>
        <w:tc>
          <w:tcPr>
            <w:tcW w:w="326" w:type="pct"/>
            <w:tcBorders>
              <w:top w:val="single" w:color="auto" w:sz="4" w:space="0"/>
              <w:left w:val="single" w:color="auto" w:sz="4" w:space="0"/>
              <w:bottom w:val="single" w:color="auto" w:sz="4" w:space="0"/>
              <w:right w:val="single" w:color="auto" w:sz="4" w:space="0"/>
            </w:tcBorders>
            <w:vAlign w:val="center"/>
          </w:tcPr>
          <w:p w14:paraId="34E87418">
            <w:pPr>
              <w:widowControl w:val="0"/>
              <w:autoSpaceDE w:val="0"/>
              <w:spacing w:line="240" w:lineRule="auto"/>
              <w:jc w:val="center"/>
              <w:rPr>
                <w:kern w:val="0"/>
              </w:rPr>
            </w:pPr>
            <w:r>
              <w:rPr>
                <w:kern w:val="0"/>
              </w:rPr>
              <w:t>529</w:t>
            </w:r>
          </w:p>
        </w:tc>
      </w:tr>
      <w:tr w14:paraId="646DC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634" w:type="pct"/>
            <w:tcBorders>
              <w:top w:val="single" w:color="auto" w:sz="4" w:space="0"/>
              <w:left w:val="single" w:color="auto" w:sz="4" w:space="0"/>
              <w:bottom w:val="single" w:color="auto" w:sz="4" w:space="0"/>
              <w:right w:val="single" w:color="auto" w:sz="4" w:space="0"/>
            </w:tcBorders>
            <w:vAlign w:val="center"/>
          </w:tcPr>
          <w:p w14:paraId="13B90E70">
            <w:pPr>
              <w:widowControl w:val="0"/>
              <w:autoSpaceDE w:val="0"/>
              <w:spacing w:line="240" w:lineRule="auto"/>
              <w:jc w:val="center"/>
              <w:rPr>
                <w:kern w:val="0"/>
              </w:rPr>
            </w:pPr>
            <w:r>
              <w:rPr>
                <w:kern w:val="0"/>
              </w:rPr>
              <w:t>VHCF2-320-100-135-10</w:t>
            </w:r>
          </w:p>
        </w:tc>
        <w:tc>
          <w:tcPr>
            <w:tcW w:w="685" w:type="pct"/>
            <w:tcBorders>
              <w:top w:val="single" w:color="auto" w:sz="4" w:space="0"/>
              <w:left w:val="single" w:color="auto" w:sz="4" w:space="0"/>
              <w:bottom w:val="single" w:color="auto" w:sz="4" w:space="0"/>
              <w:right w:val="single" w:color="auto" w:sz="4" w:space="0"/>
            </w:tcBorders>
            <w:vAlign w:val="center"/>
          </w:tcPr>
          <w:p w14:paraId="3D6B905E">
            <w:pPr>
              <w:widowControl w:val="0"/>
              <w:autoSpaceDE w:val="0"/>
              <w:spacing w:line="240" w:lineRule="auto"/>
              <w:jc w:val="center"/>
              <w:rPr>
                <w:kern w:val="0"/>
              </w:rPr>
            </w:pPr>
            <w:r>
              <w:rPr>
                <w:kern w:val="0"/>
              </w:rPr>
              <w:t>0.9</w:t>
            </w:r>
          </w:p>
        </w:tc>
        <w:tc>
          <w:tcPr>
            <w:tcW w:w="661" w:type="pct"/>
            <w:tcBorders>
              <w:top w:val="single" w:color="auto" w:sz="4" w:space="0"/>
              <w:left w:val="single" w:color="auto" w:sz="4" w:space="0"/>
              <w:bottom w:val="single" w:color="auto" w:sz="4" w:space="0"/>
              <w:right w:val="single" w:color="auto" w:sz="4" w:space="0"/>
            </w:tcBorders>
            <w:vAlign w:val="center"/>
          </w:tcPr>
          <w:p w14:paraId="628E2A08">
            <w:pPr>
              <w:widowControl w:val="0"/>
              <w:autoSpaceDE w:val="0"/>
              <w:spacing w:line="240" w:lineRule="auto"/>
              <w:jc w:val="center"/>
              <w:rPr>
                <w:kern w:val="0"/>
              </w:rPr>
            </w:pPr>
            <w:r>
              <w:rPr>
                <w:kern w:val="0"/>
              </w:rPr>
              <w:t>2.50</w:t>
            </w:r>
          </w:p>
        </w:tc>
        <w:tc>
          <w:tcPr>
            <w:tcW w:w="660" w:type="pct"/>
            <w:tcBorders>
              <w:top w:val="single" w:color="auto" w:sz="4" w:space="0"/>
              <w:left w:val="single" w:color="auto" w:sz="4" w:space="0"/>
              <w:bottom w:val="single" w:color="auto" w:sz="4" w:space="0"/>
              <w:right w:val="single" w:color="auto" w:sz="4" w:space="0"/>
            </w:tcBorders>
            <w:vAlign w:val="center"/>
          </w:tcPr>
          <w:p w14:paraId="02EF647B">
            <w:pPr>
              <w:widowControl w:val="0"/>
              <w:autoSpaceDE w:val="0"/>
              <w:spacing w:line="240" w:lineRule="auto"/>
              <w:jc w:val="center"/>
              <w:rPr>
                <w:kern w:val="0"/>
              </w:rPr>
            </w:pPr>
            <w:r>
              <w:rPr>
                <w:kern w:val="0"/>
              </w:rPr>
              <w:t>93</w:t>
            </w:r>
          </w:p>
        </w:tc>
        <w:tc>
          <w:tcPr>
            <w:tcW w:w="813" w:type="pct"/>
            <w:tcBorders>
              <w:top w:val="single" w:color="auto" w:sz="4" w:space="0"/>
              <w:left w:val="single" w:color="auto" w:sz="4" w:space="0"/>
              <w:bottom w:val="single" w:color="auto" w:sz="4" w:space="0"/>
              <w:right w:val="single" w:color="auto" w:sz="4" w:space="0"/>
            </w:tcBorders>
            <w:vAlign w:val="center"/>
          </w:tcPr>
          <w:p w14:paraId="34EE618E">
            <w:pPr>
              <w:widowControl w:val="0"/>
              <w:autoSpaceDE w:val="0"/>
              <w:spacing w:line="240" w:lineRule="auto"/>
              <w:jc w:val="center"/>
              <w:rPr>
                <w:kern w:val="0"/>
              </w:rPr>
            </w:pPr>
            <w:r>
              <w:rPr>
                <w:kern w:val="0"/>
              </w:rPr>
              <w:t>88</w:t>
            </w:r>
          </w:p>
        </w:tc>
        <w:tc>
          <w:tcPr>
            <w:tcW w:w="357" w:type="pct"/>
            <w:tcBorders>
              <w:top w:val="single" w:color="auto" w:sz="4" w:space="0"/>
              <w:left w:val="single" w:color="auto" w:sz="4" w:space="0"/>
              <w:bottom w:val="single" w:color="auto" w:sz="4" w:space="0"/>
              <w:right w:val="single" w:color="auto" w:sz="4" w:space="0"/>
            </w:tcBorders>
            <w:vAlign w:val="center"/>
          </w:tcPr>
          <w:p w14:paraId="38215822">
            <w:pPr>
              <w:widowControl w:val="0"/>
              <w:autoSpaceDE w:val="0"/>
              <w:spacing w:line="240" w:lineRule="auto"/>
              <w:jc w:val="center"/>
              <w:rPr>
                <w:kern w:val="0"/>
              </w:rPr>
            </w:pPr>
            <w:r>
              <w:rPr>
                <w:kern w:val="0"/>
              </w:rPr>
              <w:t>合格</w:t>
            </w:r>
          </w:p>
        </w:tc>
        <w:tc>
          <w:tcPr>
            <w:tcW w:w="508" w:type="pct"/>
            <w:tcBorders>
              <w:top w:val="single" w:color="auto" w:sz="4" w:space="0"/>
              <w:left w:val="single" w:color="auto" w:sz="4" w:space="0"/>
              <w:bottom w:val="single" w:color="auto" w:sz="4" w:space="0"/>
              <w:right w:val="single" w:color="auto" w:sz="4" w:space="0"/>
            </w:tcBorders>
            <w:vAlign w:val="center"/>
          </w:tcPr>
          <w:p w14:paraId="723EEF22">
            <w:pPr>
              <w:widowControl w:val="0"/>
              <w:autoSpaceDE w:val="0"/>
              <w:spacing w:line="240" w:lineRule="auto"/>
              <w:jc w:val="center"/>
              <w:rPr>
                <w:kern w:val="0"/>
              </w:rPr>
            </w:pPr>
            <w:r>
              <w:rPr>
                <w:kern w:val="0"/>
              </w:rPr>
              <w:t>2720.83</w:t>
            </w:r>
          </w:p>
        </w:tc>
        <w:tc>
          <w:tcPr>
            <w:tcW w:w="356" w:type="pct"/>
            <w:tcBorders>
              <w:top w:val="single" w:color="auto" w:sz="4" w:space="0"/>
              <w:left w:val="single" w:color="auto" w:sz="4" w:space="0"/>
              <w:bottom w:val="single" w:color="auto" w:sz="4" w:space="0"/>
              <w:right w:val="single" w:color="auto" w:sz="4" w:space="0"/>
            </w:tcBorders>
            <w:vAlign w:val="center"/>
          </w:tcPr>
          <w:p w14:paraId="7368E2EF">
            <w:pPr>
              <w:widowControl w:val="0"/>
              <w:autoSpaceDE w:val="0"/>
              <w:spacing w:line="240" w:lineRule="auto"/>
              <w:jc w:val="center"/>
              <w:rPr>
                <w:kern w:val="0"/>
              </w:rPr>
            </w:pPr>
            <w:r>
              <w:rPr>
                <w:kern w:val="0"/>
              </w:rPr>
              <w:t>456</w:t>
            </w:r>
          </w:p>
        </w:tc>
        <w:tc>
          <w:tcPr>
            <w:tcW w:w="326" w:type="pct"/>
            <w:tcBorders>
              <w:top w:val="single" w:color="auto" w:sz="4" w:space="0"/>
              <w:left w:val="single" w:color="auto" w:sz="4" w:space="0"/>
              <w:bottom w:val="single" w:color="auto" w:sz="4" w:space="0"/>
              <w:right w:val="single" w:color="auto" w:sz="4" w:space="0"/>
            </w:tcBorders>
            <w:vAlign w:val="center"/>
          </w:tcPr>
          <w:p w14:paraId="19D6E722">
            <w:pPr>
              <w:widowControl w:val="0"/>
              <w:autoSpaceDE w:val="0"/>
              <w:spacing w:line="240" w:lineRule="auto"/>
              <w:jc w:val="center"/>
              <w:rPr>
                <w:kern w:val="0"/>
              </w:rPr>
            </w:pPr>
            <w:r>
              <w:rPr>
                <w:kern w:val="0"/>
              </w:rPr>
              <w:t>452</w:t>
            </w:r>
          </w:p>
        </w:tc>
      </w:tr>
    </w:tbl>
    <w:p w14:paraId="219BAB80">
      <w:pPr>
        <w:pStyle w:val="37"/>
        <w:ind w:left="0" w:firstLine="480" w:firstLineChars="200"/>
        <w:sectPr>
          <w:pgSz w:w="16838" w:h="11906" w:orient="landscape"/>
          <w:pgMar w:top="1800" w:right="1440" w:bottom="1800" w:left="1440" w:header="851" w:footer="992" w:gutter="0"/>
          <w:cols w:space="425" w:num="1"/>
          <w:docGrid w:type="lines" w:linePitch="326" w:charSpace="0"/>
        </w:sectPr>
      </w:pPr>
    </w:p>
    <w:p w14:paraId="0F136229">
      <w:pPr>
        <w:pStyle w:val="37"/>
        <w:numPr>
          <w:ilvl w:val="0"/>
          <w:numId w:val="3"/>
        </w:numPr>
      </w:pPr>
      <w:bookmarkStart w:id="2" w:name="_Ref230705066"/>
      <w:r>
        <w:rPr>
          <w:rFonts w:hint="eastAsia"/>
        </w:rPr>
        <w:t>颗粒形貌</w:t>
      </w:r>
    </w:p>
    <w:p w14:paraId="128AEB6D">
      <w:pPr>
        <w:pStyle w:val="37"/>
        <w:ind w:left="0" w:firstLine="480" w:firstLineChars="200"/>
      </w:pPr>
      <w:r>
        <w:t>物理改性粉煤灰</w:t>
      </w:r>
      <w:r>
        <w:rPr>
          <w:rFonts w:hint="eastAsia"/>
        </w:rPr>
        <w:t>的颗粒形貌</w:t>
      </w:r>
      <w:r>
        <w:t>试验结果见</w:t>
      </w:r>
      <w:r>
        <w:fldChar w:fldCharType="begin"/>
      </w:r>
      <w:r>
        <w:instrText xml:space="preserve"> REF _Ref230705066 \h  \* MERGEFORMAT </w:instrText>
      </w:r>
      <w:r>
        <w:fldChar w:fldCharType="separate"/>
      </w:r>
      <w:r>
        <w:rPr>
          <w:rFonts w:hint="eastAsia"/>
        </w:rPr>
        <w:t>表</w:t>
      </w:r>
      <w:r>
        <w:t>3</w:t>
      </w:r>
      <w:r>
        <w:fldChar w:fldCharType="end"/>
      </w:r>
      <w:r>
        <w:rPr>
          <w:rFonts w:hint="eastAsia"/>
        </w:rPr>
        <w:t>，</w:t>
      </w:r>
      <w:r>
        <w:t>SEM</w:t>
      </w:r>
      <w:r>
        <w:rPr>
          <w:rFonts w:hint="eastAsia"/>
        </w:rPr>
        <w:t>图像</w:t>
      </w:r>
      <w:r>
        <w:t>见</w:t>
      </w:r>
      <w:r>
        <w:fldChar w:fldCharType="begin"/>
      </w:r>
      <w:r>
        <w:instrText xml:space="preserve"> REF _Ref230705860 \h  \* MERGEFORMAT </w:instrText>
      </w:r>
      <w:r>
        <w:fldChar w:fldCharType="separate"/>
      </w:r>
      <w:r>
        <w:rPr>
          <w:rFonts w:hint="eastAsia"/>
          <w:color w:val="000000"/>
        </w:rPr>
        <w:t>图1</w:t>
      </w:r>
      <w:r>
        <w:fldChar w:fldCharType="end"/>
      </w:r>
      <w:r>
        <w:rPr>
          <w:rFonts w:hint="eastAsia"/>
        </w:rPr>
        <w:t>~</w:t>
      </w:r>
      <w:r>
        <w:fldChar w:fldCharType="begin"/>
      </w:r>
      <w:r>
        <w:instrText xml:space="preserve"> </w:instrText>
      </w:r>
      <w:r>
        <w:rPr>
          <w:rFonts w:hint="eastAsia"/>
        </w:rPr>
        <w:instrText xml:space="preserve">REF _Ref230706108 \h</w:instrText>
      </w:r>
      <w:r>
        <w:instrText xml:space="preserve">  \* MERGEFORMAT </w:instrText>
      </w:r>
      <w:r>
        <w:fldChar w:fldCharType="separate"/>
      </w:r>
      <w:r>
        <w:rPr>
          <w:rFonts w:hint="eastAsia"/>
          <w:color w:val="000000"/>
        </w:rPr>
        <w:t>图</w:t>
      </w:r>
      <w:r>
        <w:rPr>
          <w:color w:val="000000"/>
        </w:rPr>
        <w:t>3</w:t>
      </w:r>
      <w:r>
        <w:fldChar w:fldCharType="end"/>
      </w:r>
      <w:r>
        <w:rPr>
          <w:rFonts w:hint="eastAsia"/>
        </w:rPr>
        <w:t>。</w:t>
      </w:r>
    </w:p>
    <w:p w14:paraId="24DA5AC3">
      <w:pPr>
        <w:jc w:val="center"/>
      </w:pPr>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3</w:t>
      </w:r>
      <w:r>
        <w:fldChar w:fldCharType="end"/>
      </w:r>
      <w:bookmarkEnd w:id="2"/>
      <w:r>
        <w:t>福建漳州后石电厂粉煤灰颗粒形貌（长径比和圆形度）</w:t>
      </w:r>
    </w:p>
    <w:tbl>
      <w:tblPr>
        <w:tblStyle w:val="4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6"/>
        <w:gridCol w:w="1130"/>
        <w:gridCol w:w="1080"/>
        <w:gridCol w:w="1190"/>
        <w:gridCol w:w="1150"/>
        <w:gridCol w:w="1120"/>
        <w:gridCol w:w="1146"/>
      </w:tblGrid>
      <w:tr w14:paraId="62246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706" w:type="dxa"/>
            <w:vMerge w:val="restart"/>
            <w:tcBorders>
              <w:top w:val="single" w:color="auto" w:sz="4" w:space="0"/>
              <w:left w:val="single" w:color="auto" w:sz="4" w:space="0"/>
              <w:bottom w:val="single" w:color="auto" w:sz="4" w:space="0"/>
              <w:right w:val="single" w:color="auto" w:sz="4" w:space="0"/>
            </w:tcBorders>
            <w:vAlign w:val="center"/>
          </w:tcPr>
          <w:p w14:paraId="67D8BE4F">
            <w:pPr>
              <w:widowControl w:val="0"/>
              <w:spacing w:line="240" w:lineRule="auto"/>
              <w:jc w:val="center"/>
              <w:rPr>
                <w:kern w:val="0"/>
              </w:rPr>
            </w:pPr>
            <w:r>
              <w:rPr>
                <w:kern w:val="0"/>
              </w:rPr>
              <w:t>编号</w:t>
            </w:r>
          </w:p>
        </w:tc>
        <w:tc>
          <w:tcPr>
            <w:tcW w:w="3400" w:type="dxa"/>
            <w:gridSpan w:val="3"/>
            <w:tcBorders>
              <w:top w:val="single" w:color="auto" w:sz="4" w:space="0"/>
              <w:left w:val="single" w:color="auto" w:sz="4" w:space="0"/>
              <w:bottom w:val="single" w:color="auto" w:sz="4" w:space="0"/>
              <w:right w:val="single" w:color="auto" w:sz="4" w:space="0"/>
            </w:tcBorders>
            <w:vAlign w:val="center"/>
          </w:tcPr>
          <w:p w14:paraId="0109C3E1">
            <w:pPr>
              <w:widowControl w:val="0"/>
              <w:spacing w:line="240" w:lineRule="auto"/>
              <w:jc w:val="center"/>
              <w:rPr>
                <w:kern w:val="0"/>
              </w:rPr>
            </w:pPr>
            <w:r>
              <w:rPr>
                <w:kern w:val="0"/>
              </w:rPr>
              <w:t>长径比</w:t>
            </w:r>
          </w:p>
        </w:tc>
        <w:tc>
          <w:tcPr>
            <w:tcW w:w="3416" w:type="dxa"/>
            <w:gridSpan w:val="3"/>
            <w:tcBorders>
              <w:top w:val="single" w:color="auto" w:sz="4" w:space="0"/>
              <w:left w:val="single" w:color="auto" w:sz="4" w:space="0"/>
              <w:bottom w:val="single" w:color="auto" w:sz="4" w:space="0"/>
              <w:right w:val="single" w:color="auto" w:sz="4" w:space="0"/>
            </w:tcBorders>
            <w:vAlign w:val="center"/>
          </w:tcPr>
          <w:p w14:paraId="6EAC46C8">
            <w:pPr>
              <w:widowControl w:val="0"/>
              <w:spacing w:line="240" w:lineRule="auto"/>
              <w:jc w:val="center"/>
              <w:rPr>
                <w:kern w:val="0"/>
              </w:rPr>
            </w:pPr>
            <w:r>
              <w:rPr>
                <w:kern w:val="0"/>
              </w:rPr>
              <w:t>圆形度</w:t>
            </w:r>
          </w:p>
        </w:tc>
      </w:tr>
      <w:tr w14:paraId="3E05D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706" w:type="dxa"/>
            <w:vMerge w:val="continue"/>
            <w:tcBorders>
              <w:top w:val="single" w:color="auto" w:sz="4" w:space="0"/>
              <w:left w:val="single" w:color="auto" w:sz="4" w:space="0"/>
              <w:bottom w:val="single" w:color="auto" w:sz="4" w:space="0"/>
              <w:right w:val="single" w:color="auto" w:sz="4" w:space="0"/>
            </w:tcBorders>
            <w:vAlign w:val="center"/>
          </w:tcPr>
          <w:p w14:paraId="28C76C01">
            <w:pPr>
              <w:widowControl/>
              <w:spacing w:line="240" w:lineRule="auto"/>
              <w:jc w:val="left"/>
              <w:rPr>
                <w:kern w:val="0"/>
                <w:szCs w:val="21"/>
              </w:rPr>
            </w:pPr>
          </w:p>
        </w:tc>
        <w:tc>
          <w:tcPr>
            <w:tcW w:w="1130" w:type="dxa"/>
            <w:tcBorders>
              <w:top w:val="single" w:color="auto" w:sz="4" w:space="0"/>
              <w:left w:val="single" w:color="auto" w:sz="4" w:space="0"/>
              <w:bottom w:val="single" w:color="auto" w:sz="4" w:space="0"/>
              <w:right w:val="single" w:color="auto" w:sz="4" w:space="0"/>
            </w:tcBorders>
            <w:vAlign w:val="center"/>
          </w:tcPr>
          <w:p w14:paraId="05872700">
            <w:pPr>
              <w:widowControl w:val="0"/>
              <w:spacing w:line="240" w:lineRule="auto"/>
              <w:jc w:val="center"/>
              <w:rPr>
                <w:kern w:val="0"/>
              </w:rPr>
            </w:pPr>
            <w:r>
              <w:rPr>
                <w:kern w:val="0"/>
              </w:rPr>
              <w:t>最大值</w:t>
            </w:r>
          </w:p>
        </w:tc>
        <w:tc>
          <w:tcPr>
            <w:tcW w:w="1080" w:type="dxa"/>
            <w:tcBorders>
              <w:top w:val="single" w:color="auto" w:sz="4" w:space="0"/>
              <w:left w:val="single" w:color="auto" w:sz="4" w:space="0"/>
              <w:bottom w:val="single" w:color="auto" w:sz="4" w:space="0"/>
              <w:right w:val="single" w:color="auto" w:sz="4" w:space="0"/>
            </w:tcBorders>
            <w:vAlign w:val="center"/>
          </w:tcPr>
          <w:p w14:paraId="2CEFED2A">
            <w:pPr>
              <w:widowControl w:val="0"/>
              <w:spacing w:line="240" w:lineRule="auto"/>
              <w:jc w:val="center"/>
              <w:rPr>
                <w:kern w:val="0"/>
              </w:rPr>
            </w:pPr>
            <w:r>
              <w:rPr>
                <w:kern w:val="0"/>
              </w:rPr>
              <w:t>最小值</w:t>
            </w:r>
          </w:p>
        </w:tc>
        <w:tc>
          <w:tcPr>
            <w:tcW w:w="1190" w:type="dxa"/>
            <w:tcBorders>
              <w:top w:val="single" w:color="auto" w:sz="4" w:space="0"/>
              <w:left w:val="single" w:color="auto" w:sz="4" w:space="0"/>
              <w:bottom w:val="single" w:color="auto" w:sz="4" w:space="0"/>
              <w:right w:val="single" w:color="auto" w:sz="4" w:space="0"/>
            </w:tcBorders>
            <w:vAlign w:val="center"/>
          </w:tcPr>
          <w:p w14:paraId="0B6A26A6">
            <w:pPr>
              <w:widowControl w:val="0"/>
              <w:spacing w:line="240" w:lineRule="auto"/>
              <w:jc w:val="center"/>
              <w:rPr>
                <w:kern w:val="0"/>
              </w:rPr>
            </w:pPr>
            <w:r>
              <w:rPr>
                <w:kern w:val="0"/>
              </w:rPr>
              <w:t>平均值</w:t>
            </w:r>
          </w:p>
        </w:tc>
        <w:tc>
          <w:tcPr>
            <w:tcW w:w="1150" w:type="dxa"/>
            <w:tcBorders>
              <w:top w:val="single" w:color="auto" w:sz="4" w:space="0"/>
              <w:left w:val="single" w:color="auto" w:sz="4" w:space="0"/>
              <w:bottom w:val="single" w:color="auto" w:sz="4" w:space="0"/>
              <w:right w:val="single" w:color="auto" w:sz="4" w:space="0"/>
            </w:tcBorders>
            <w:vAlign w:val="center"/>
          </w:tcPr>
          <w:p w14:paraId="02595F3D">
            <w:pPr>
              <w:widowControl w:val="0"/>
              <w:spacing w:line="240" w:lineRule="auto"/>
              <w:jc w:val="center"/>
              <w:rPr>
                <w:kern w:val="0"/>
              </w:rPr>
            </w:pPr>
            <w:r>
              <w:rPr>
                <w:kern w:val="0"/>
              </w:rPr>
              <w:t>最大值</w:t>
            </w:r>
          </w:p>
        </w:tc>
        <w:tc>
          <w:tcPr>
            <w:tcW w:w="1120" w:type="dxa"/>
            <w:tcBorders>
              <w:top w:val="single" w:color="auto" w:sz="4" w:space="0"/>
              <w:left w:val="single" w:color="auto" w:sz="4" w:space="0"/>
              <w:bottom w:val="single" w:color="auto" w:sz="4" w:space="0"/>
              <w:right w:val="single" w:color="auto" w:sz="4" w:space="0"/>
            </w:tcBorders>
            <w:vAlign w:val="center"/>
          </w:tcPr>
          <w:p w14:paraId="39A74BBA">
            <w:pPr>
              <w:widowControl w:val="0"/>
              <w:spacing w:line="240" w:lineRule="auto"/>
              <w:jc w:val="center"/>
              <w:rPr>
                <w:kern w:val="0"/>
              </w:rPr>
            </w:pPr>
            <w:r>
              <w:rPr>
                <w:kern w:val="0"/>
              </w:rPr>
              <w:t>最小值</w:t>
            </w:r>
          </w:p>
        </w:tc>
        <w:tc>
          <w:tcPr>
            <w:tcW w:w="1146" w:type="dxa"/>
            <w:tcBorders>
              <w:top w:val="single" w:color="auto" w:sz="4" w:space="0"/>
              <w:left w:val="single" w:color="auto" w:sz="4" w:space="0"/>
              <w:bottom w:val="single" w:color="auto" w:sz="4" w:space="0"/>
              <w:right w:val="single" w:color="auto" w:sz="4" w:space="0"/>
            </w:tcBorders>
            <w:vAlign w:val="center"/>
          </w:tcPr>
          <w:p w14:paraId="6210EAA0">
            <w:pPr>
              <w:widowControl w:val="0"/>
              <w:spacing w:line="240" w:lineRule="auto"/>
              <w:jc w:val="center"/>
              <w:rPr>
                <w:kern w:val="0"/>
              </w:rPr>
            </w:pPr>
            <w:r>
              <w:rPr>
                <w:kern w:val="0"/>
              </w:rPr>
              <w:t>平均值</w:t>
            </w:r>
          </w:p>
        </w:tc>
      </w:tr>
      <w:tr w14:paraId="2CACD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706" w:type="dxa"/>
            <w:tcBorders>
              <w:top w:val="single" w:color="auto" w:sz="4" w:space="0"/>
              <w:left w:val="single" w:color="auto" w:sz="4" w:space="0"/>
              <w:bottom w:val="single" w:color="auto" w:sz="4" w:space="0"/>
              <w:right w:val="single" w:color="auto" w:sz="4" w:space="0"/>
            </w:tcBorders>
            <w:vAlign w:val="center"/>
          </w:tcPr>
          <w:p w14:paraId="00BA78BC">
            <w:pPr>
              <w:widowControl w:val="0"/>
              <w:spacing w:line="240" w:lineRule="auto"/>
              <w:jc w:val="center"/>
              <w:rPr>
                <w:kern w:val="0"/>
              </w:rPr>
            </w:pPr>
            <w:r>
              <w:rPr>
                <w:kern w:val="0"/>
              </w:rPr>
              <w:t>VHF</w:t>
            </w:r>
          </w:p>
        </w:tc>
        <w:tc>
          <w:tcPr>
            <w:tcW w:w="1130" w:type="dxa"/>
            <w:tcBorders>
              <w:top w:val="single" w:color="auto" w:sz="4" w:space="0"/>
              <w:left w:val="single" w:color="auto" w:sz="4" w:space="0"/>
              <w:bottom w:val="single" w:color="auto" w:sz="4" w:space="0"/>
              <w:right w:val="single" w:color="auto" w:sz="4" w:space="0"/>
            </w:tcBorders>
            <w:vAlign w:val="center"/>
          </w:tcPr>
          <w:p w14:paraId="0CB674C7">
            <w:pPr>
              <w:widowControl w:val="0"/>
              <w:spacing w:line="240" w:lineRule="auto"/>
              <w:jc w:val="center"/>
              <w:rPr>
                <w:kern w:val="0"/>
              </w:rPr>
            </w:pPr>
            <w:r>
              <w:rPr>
                <w:kern w:val="0"/>
              </w:rPr>
              <w:t>1.921</w:t>
            </w:r>
          </w:p>
        </w:tc>
        <w:tc>
          <w:tcPr>
            <w:tcW w:w="1080" w:type="dxa"/>
            <w:tcBorders>
              <w:top w:val="single" w:color="auto" w:sz="4" w:space="0"/>
              <w:left w:val="single" w:color="auto" w:sz="4" w:space="0"/>
              <w:bottom w:val="single" w:color="auto" w:sz="4" w:space="0"/>
              <w:right w:val="single" w:color="auto" w:sz="4" w:space="0"/>
            </w:tcBorders>
            <w:vAlign w:val="center"/>
          </w:tcPr>
          <w:p w14:paraId="4EAABDC6">
            <w:pPr>
              <w:widowControl w:val="0"/>
              <w:spacing w:line="240" w:lineRule="auto"/>
              <w:jc w:val="center"/>
              <w:rPr>
                <w:kern w:val="0"/>
              </w:rPr>
            </w:pPr>
            <w:r>
              <w:rPr>
                <w:kern w:val="0"/>
              </w:rPr>
              <w:t>1.095</w:t>
            </w:r>
          </w:p>
        </w:tc>
        <w:tc>
          <w:tcPr>
            <w:tcW w:w="1190" w:type="dxa"/>
            <w:tcBorders>
              <w:top w:val="single" w:color="auto" w:sz="4" w:space="0"/>
              <w:left w:val="single" w:color="auto" w:sz="4" w:space="0"/>
              <w:bottom w:val="single" w:color="auto" w:sz="4" w:space="0"/>
              <w:right w:val="single" w:color="auto" w:sz="4" w:space="0"/>
            </w:tcBorders>
            <w:vAlign w:val="center"/>
          </w:tcPr>
          <w:p w14:paraId="073F4537">
            <w:pPr>
              <w:widowControl w:val="0"/>
              <w:spacing w:line="240" w:lineRule="auto"/>
              <w:jc w:val="center"/>
              <w:rPr>
                <w:kern w:val="0"/>
              </w:rPr>
            </w:pPr>
            <w:r>
              <w:rPr>
                <w:kern w:val="0"/>
              </w:rPr>
              <w:t>1.343</w:t>
            </w:r>
          </w:p>
        </w:tc>
        <w:tc>
          <w:tcPr>
            <w:tcW w:w="1150" w:type="dxa"/>
            <w:tcBorders>
              <w:top w:val="single" w:color="auto" w:sz="4" w:space="0"/>
              <w:left w:val="single" w:color="auto" w:sz="4" w:space="0"/>
              <w:bottom w:val="single" w:color="auto" w:sz="4" w:space="0"/>
              <w:right w:val="single" w:color="auto" w:sz="4" w:space="0"/>
            </w:tcBorders>
            <w:vAlign w:val="center"/>
          </w:tcPr>
          <w:p w14:paraId="214EF68B">
            <w:pPr>
              <w:widowControl w:val="0"/>
              <w:spacing w:line="240" w:lineRule="auto"/>
              <w:jc w:val="center"/>
              <w:rPr>
                <w:kern w:val="0"/>
              </w:rPr>
            </w:pPr>
            <w:r>
              <w:rPr>
                <w:kern w:val="0"/>
              </w:rPr>
              <w:t>0.914</w:t>
            </w:r>
          </w:p>
        </w:tc>
        <w:tc>
          <w:tcPr>
            <w:tcW w:w="1120" w:type="dxa"/>
            <w:tcBorders>
              <w:top w:val="single" w:color="auto" w:sz="4" w:space="0"/>
              <w:left w:val="single" w:color="auto" w:sz="4" w:space="0"/>
              <w:bottom w:val="single" w:color="auto" w:sz="4" w:space="0"/>
              <w:right w:val="single" w:color="auto" w:sz="4" w:space="0"/>
            </w:tcBorders>
            <w:vAlign w:val="center"/>
          </w:tcPr>
          <w:p w14:paraId="6D5508BC">
            <w:pPr>
              <w:widowControl w:val="0"/>
              <w:spacing w:line="240" w:lineRule="auto"/>
              <w:jc w:val="center"/>
              <w:rPr>
                <w:kern w:val="0"/>
              </w:rPr>
            </w:pPr>
            <w:r>
              <w:rPr>
                <w:kern w:val="0"/>
              </w:rPr>
              <w:t>0.612</w:t>
            </w:r>
          </w:p>
        </w:tc>
        <w:tc>
          <w:tcPr>
            <w:tcW w:w="1146" w:type="dxa"/>
            <w:tcBorders>
              <w:top w:val="single" w:color="auto" w:sz="4" w:space="0"/>
              <w:left w:val="single" w:color="auto" w:sz="4" w:space="0"/>
              <w:bottom w:val="single" w:color="auto" w:sz="4" w:space="0"/>
              <w:right w:val="single" w:color="auto" w:sz="4" w:space="0"/>
            </w:tcBorders>
            <w:vAlign w:val="center"/>
          </w:tcPr>
          <w:p w14:paraId="723D171E">
            <w:pPr>
              <w:widowControl w:val="0"/>
              <w:spacing w:line="240" w:lineRule="auto"/>
              <w:jc w:val="center"/>
              <w:rPr>
                <w:kern w:val="0"/>
              </w:rPr>
            </w:pPr>
            <w:r>
              <w:rPr>
                <w:kern w:val="0"/>
              </w:rPr>
              <w:t>0.817</w:t>
            </w:r>
          </w:p>
        </w:tc>
      </w:tr>
      <w:tr w14:paraId="75E12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706" w:type="dxa"/>
            <w:tcBorders>
              <w:top w:val="single" w:color="auto" w:sz="4" w:space="0"/>
              <w:left w:val="single" w:color="auto" w:sz="4" w:space="0"/>
              <w:bottom w:val="single" w:color="auto" w:sz="4" w:space="0"/>
              <w:right w:val="single" w:color="auto" w:sz="4" w:space="0"/>
            </w:tcBorders>
            <w:vAlign w:val="center"/>
          </w:tcPr>
          <w:p w14:paraId="7F125F5C">
            <w:pPr>
              <w:widowControl w:val="0"/>
              <w:spacing w:line="240" w:lineRule="auto"/>
              <w:jc w:val="center"/>
              <w:rPr>
                <w:kern w:val="0"/>
              </w:rPr>
            </w:pPr>
            <w:r>
              <w:rPr>
                <w:kern w:val="0"/>
              </w:rPr>
              <w:t>VHSF2-700-120-135-10</w:t>
            </w:r>
          </w:p>
        </w:tc>
        <w:tc>
          <w:tcPr>
            <w:tcW w:w="1130" w:type="dxa"/>
            <w:tcBorders>
              <w:top w:val="single" w:color="auto" w:sz="4" w:space="0"/>
              <w:left w:val="single" w:color="auto" w:sz="4" w:space="0"/>
              <w:bottom w:val="single" w:color="auto" w:sz="4" w:space="0"/>
              <w:right w:val="single" w:color="auto" w:sz="4" w:space="0"/>
            </w:tcBorders>
            <w:vAlign w:val="center"/>
          </w:tcPr>
          <w:p w14:paraId="7EE14CD8">
            <w:pPr>
              <w:widowControl w:val="0"/>
              <w:spacing w:line="240" w:lineRule="auto"/>
              <w:jc w:val="center"/>
              <w:rPr>
                <w:kern w:val="0"/>
              </w:rPr>
            </w:pPr>
            <w:r>
              <w:rPr>
                <w:kern w:val="0"/>
              </w:rPr>
              <w:t>2.386</w:t>
            </w:r>
          </w:p>
        </w:tc>
        <w:tc>
          <w:tcPr>
            <w:tcW w:w="1080" w:type="dxa"/>
            <w:tcBorders>
              <w:top w:val="single" w:color="auto" w:sz="4" w:space="0"/>
              <w:left w:val="single" w:color="auto" w:sz="4" w:space="0"/>
              <w:bottom w:val="single" w:color="auto" w:sz="4" w:space="0"/>
              <w:right w:val="single" w:color="auto" w:sz="4" w:space="0"/>
            </w:tcBorders>
            <w:vAlign w:val="center"/>
          </w:tcPr>
          <w:p w14:paraId="244E0790">
            <w:pPr>
              <w:widowControl w:val="0"/>
              <w:spacing w:line="240" w:lineRule="auto"/>
              <w:jc w:val="center"/>
              <w:rPr>
                <w:kern w:val="0"/>
              </w:rPr>
            </w:pPr>
            <w:r>
              <w:rPr>
                <w:kern w:val="0"/>
              </w:rPr>
              <w:t>1.062</w:t>
            </w:r>
          </w:p>
        </w:tc>
        <w:tc>
          <w:tcPr>
            <w:tcW w:w="1190" w:type="dxa"/>
            <w:tcBorders>
              <w:top w:val="single" w:color="auto" w:sz="4" w:space="0"/>
              <w:left w:val="single" w:color="auto" w:sz="4" w:space="0"/>
              <w:bottom w:val="single" w:color="auto" w:sz="4" w:space="0"/>
              <w:right w:val="single" w:color="auto" w:sz="4" w:space="0"/>
            </w:tcBorders>
            <w:vAlign w:val="center"/>
          </w:tcPr>
          <w:p w14:paraId="6084D3FC">
            <w:pPr>
              <w:widowControl w:val="0"/>
              <w:spacing w:line="240" w:lineRule="auto"/>
              <w:jc w:val="center"/>
              <w:rPr>
                <w:kern w:val="0"/>
              </w:rPr>
            </w:pPr>
            <w:r>
              <w:rPr>
                <w:kern w:val="0"/>
              </w:rPr>
              <w:t>1.308</w:t>
            </w:r>
          </w:p>
        </w:tc>
        <w:tc>
          <w:tcPr>
            <w:tcW w:w="1150" w:type="dxa"/>
            <w:tcBorders>
              <w:top w:val="single" w:color="auto" w:sz="4" w:space="0"/>
              <w:left w:val="single" w:color="auto" w:sz="4" w:space="0"/>
              <w:bottom w:val="single" w:color="auto" w:sz="4" w:space="0"/>
              <w:right w:val="single" w:color="auto" w:sz="4" w:space="0"/>
            </w:tcBorders>
            <w:vAlign w:val="center"/>
          </w:tcPr>
          <w:p w14:paraId="62C55EFC">
            <w:pPr>
              <w:widowControl w:val="0"/>
              <w:spacing w:line="240" w:lineRule="auto"/>
              <w:jc w:val="center"/>
              <w:rPr>
                <w:kern w:val="0"/>
              </w:rPr>
            </w:pPr>
            <w:r>
              <w:rPr>
                <w:kern w:val="0"/>
              </w:rPr>
              <w:t>0.944</w:t>
            </w:r>
          </w:p>
        </w:tc>
        <w:tc>
          <w:tcPr>
            <w:tcW w:w="1120" w:type="dxa"/>
            <w:tcBorders>
              <w:top w:val="single" w:color="auto" w:sz="4" w:space="0"/>
              <w:left w:val="single" w:color="auto" w:sz="4" w:space="0"/>
              <w:bottom w:val="single" w:color="auto" w:sz="4" w:space="0"/>
              <w:right w:val="single" w:color="auto" w:sz="4" w:space="0"/>
            </w:tcBorders>
            <w:vAlign w:val="center"/>
          </w:tcPr>
          <w:p w14:paraId="48D9CDBA">
            <w:pPr>
              <w:widowControl w:val="0"/>
              <w:spacing w:line="240" w:lineRule="auto"/>
              <w:jc w:val="center"/>
              <w:rPr>
                <w:kern w:val="0"/>
              </w:rPr>
            </w:pPr>
            <w:r>
              <w:rPr>
                <w:kern w:val="0"/>
              </w:rPr>
              <w:t>0.569</w:t>
            </w:r>
          </w:p>
        </w:tc>
        <w:tc>
          <w:tcPr>
            <w:tcW w:w="1146" w:type="dxa"/>
            <w:tcBorders>
              <w:top w:val="single" w:color="auto" w:sz="4" w:space="0"/>
              <w:left w:val="single" w:color="auto" w:sz="4" w:space="0"/>
              <w:bottom w:val="single" w:color="auto" w:sz="4" w:space="0"/>
              <w:right w:val="single" w:color="auto" w:sz="4" w:space="0"/>
            </w:tcBorders>
            <w:vAlign w:val="center"/>
          </w:tcPr>
          <w:p w14:paraId="66B62CCA">
            <w:pPr>
              <w:widowControl w:val="0"/>
              <w:spacing w:line="240" w:lineRule="auto"/>
              <w:jc w:val="center"/>
              <w:rPr>
                <w:kern w:val="0"/>
              </w:rPr>
            </w:pPr>
            <w:r>
              <w:rPr>
                <w:kern w:val="0"/>
              </w:rPr>
              <w:t>0.819</w:t>
            </w:r>
          </w:p>
        </w:tc>
      </w:tr>
      <w:tr w14:paraId="520AE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706" w:type="dxa"/>
            <w:tcBorders>
              <w:top w:val="single" w:color="auto" w:sz="4" w:space="0"/>
              <w:left w:val="single" w:color="auto" w:sz="4" w:space="0"/>
              <w:bottom w:val="single" w:color="auto" w:sz="4" w:space="0"/>
              <w:right w:val="single" w:color="auto" w:sz="4" w:space="0"/>
            </w:tcBorders>
            <w:vAlign w:val="center"/>
          </w:tcPr>
          <w:p w14:paraId="58CFA084">
            <w:pPr>
              <w:widowControl w:val="0"/>
              <w:spacing w:line="240" w:lineRule="auto"/>
              <w:jc w:val="center"/>
              <w:rPr>
                <w:kern w:val="0"/>
              </w:rPr>
            </w:pPr>
            <w:r>
              <w:rPr>
                <w:kern w:val="0"/>
              </w:rPr>
              <w:t>VHCF2-320-100-135-10</w:t>
            </w:r>
          </w:p>
        </w:tc>
        <w:tc>
          <w:tcPr>
            <w:tcW w:w="1130" w:type="dxa"/>
            <w:tcBorders>
              <w:top w:val="single" w:color="auto" w:sz="4" w:space="0"/>
              <w:left w:val="single" w:color="auto" w:sz="4" w:space="0"/>
              <w:bottom w:val="single" w:color="auto" w:sz="4" w:space="0"/>
              <w:right w:val="single" w:color="auto" w:sz="4" w:space="0"/>
            </w:tcBorders>
            <w:vAlign w:val="center"/>
          </w:tcPr>
          <w:p w14:paraId="304DC098">
            <w:pPr>
              <w:widowControl w:val="0"/>
              <w:spacing w:line="240" w:lineRule="auto"/>
              <w:jc w:val="center"/>
              <w:rPr>
                <w:kern w:val="0"/>
              </w:rPr>
            </w:pPr>
            <w:r>
              <w:rPr>
                <w:kern w:val="0"/>
              </w:rPr>
              <w:t>1.741</w:t>
            </w:r>
          </w:p>
        </w:tc>
        <w:tc>
          <w:tcPr>
            <w:tcW w:w="1080" w:type="dxa"/>
            <w:tcBorders>
              <w:top w:val="single" w:color="auto" w:sz="4" w:space="0"/>
              <w:left w:val="single" w:color="auto" w:sz="4" w:space="0"/>
              <w:bottom w:val="single" w:color="auto" w:sz="4" w:space="0"/>
              <w:right w:val="single" w:color="auto" w:sz="4" w:space="0"/>
            </w:tcBorders>
            <w:vAlign w:val="center"/>
          </w:tcPr>
          <w:p w14:paraId="31E25C7D">
            <w:pPr>
              <w:widowControl w:val="0"/>
              <w:spacing w:line="240" w:lineRule="auto"/>
              <w:jc w:val="center"/>
              <w:rPr>
                <w:kern w:val="0"/>
              </w:rPr>
            </w:pPr>
            <w:r>
              <w:rPr>
                <w:kern w:val="0"/>
              </w:rPr>
              <w:t>1.025</w:t>
            </w:r>
          </w:p>
        </w:tc>
        <w:tc>
          <w:tcPr>
            <w:tcW w:w="1190" w:type="dxa"/>
            <w:tcBorders>
              <w:top w:val="single" w:color="auto" w:sz="4" w:space="0"/>
              <w:left w:val="single" w:color="auto" w:sz="4" w:space="0"/>
              <w:bottom w:val="single" w:color="auto" w:sz="4" w:space="0"/>
              <w:right w:val="single" w:color="auto" w:sz="4" w:space="0"/>
            </w:tcBorders>
            <w:vAlign w:val="center"/>
          </w:tcPr>
          <w:p w14:paraId="5402F602">
            <w:pPr>
              <w:widowControl w:val="0"/>
              <w:spacing w:line="240" w:lineRule="auto"/>
              <w:jc w:val="center"/>
              <w:rPr>
                <w:kern w:val="0"/>
              </w:rPr>
            </w:pPr>
            <w:r>
              <w:rPr>
                <w:kern w:val="0"/>
              </w:rPr>
              <w:t>1.305</w:t>
            </w:r>
          </w:p>
        </w:tc>
        <w:tc>
          <w:tcPr>
            <w:tcW w:w="1150" w:type="dxa"/>
            <w:tcBorders>
              <w:top w:val="single" w:color="auto" w:sz="4" w:space="0"/>
              <w:left w:val="single" w:color="auto" w:sz="4" w:space="0"/>
              <w:bottom w:val="single" w:color="auto" w:sz="4" w:space="0"/>
              <w:right w:val="single" w:color="auto" w:sz="4" w:space="0"/>
            </w:tcBorders>
            <w:vAlign w:val="center"/>
          </w:tcPr>
          <w:p w14:paraId="10A49953">
            <w:pPr>
              <w:widowControl w:val="0"/>
              <w:spacing w:line="240" w:lineRule="auto"/>
              <w:jc w:val="center"/>
              <w:rPr>
                <w:kern w:val="0"/>
              </w:rPr>
            </w:pPr>
            <w:r>
              <w:rPr>
                <w:kern w:val="0"/>
              </w:rPr>
              <w:t>0.925</w:t>
            </w:r>
          </w:p>
        </w:tc>
        <w:tc>
          <w:tcPr>
            <w:tcW w:w="1120" w:type="dxa"/>
            <w:tcBorders>
              <w:top w:val="single" w:color="auto" w:sz="4" w:space="0"/>
              <w:left w:val="single" w:color="auto" w:sz="4" w:space="0"/>
              <w:bottom w:val="single" w:color="auto" w:sz="4" w:space="0"/>
              <w:right w:val="single" w:color="auto" w:sz="4" w:space="0"/>
            </w:tcBorders>
            <w:vAlign w:val="center"/>
          </w:tcPr>
          <w:p w14:paraId="159ABC87">
            <w:pPr>
              <w:widowControl w:val="0"/>
              <w:spacing w:line="240" w:lineRule="auto"/>
              <w:jc w:val="center"/>
              <w:rPr>
                <w:kern w:val="0"/>
              </w:rPr>
            </w:pPr>
            <w:r>
              <w:rPr>
                <w:kern w:val="0"/>
              </w:rPr>
              <w:t>0.691</w:t>
            </w:r>
          </w:p>
        </w:tc>
        <w:tc>
          <w:tcPr>
            <w:tcW w:w="1146" w:type="dxa"/>
            <w:tcBorders>
              <w:top w:val="single" w:color="auto" w:sz="4" w:space="0"/>
              <w:left w:val="single" w:color="auto" w:sz="4" w:space="0"/>
              <w:bottom w:val="single" w:color="auto" w:sz="4" w:space="0"/>
              <w:right w:val="single" w:color="auto" w:sz="4" w:space="0"/>
            </w:tcBorders>
            <w:vAlign w:val="center"/>
          </w:tcPr>
          <w:p w14:paraId="6C3F436F">
            <w:pPr>
              <w:widowControl w:val="0"/>
              <w:spacing w:line="240" w:lineRule="auto"/>
              <w:jc w:val="center"/>
              <w:rPr>
                <w:kern w:val="0"/>
              </w:rPr>
            </w:pPr>
            <w:r>
              <w:rPr>
                <w:kern w:val="0"/>
              </w:rPr>
              <w:t>0.832</w:t>
            </w:r>
          </w:p>
        </w:tc>
      </w:tr>
    </w:tbl>
    <w:p w14:paraId="2AA5C64C">
      <w:pPr>
        <w:pStyle w:val="37"/>
        <w:keepNext/>
        <w:spacing w:before="255"/>
        <w:ind w:left="0"/>
        <w:jc w:val="center"/>
      </w:pPr>
      <w:r>
        <w:drawing>
          <wp:inline distT="0" distB="0" distL="0" distR="0">
            <wp:extent cx="2340610" cy="2159635"/>
            <wp:effectExtent l="0" t="0" r="2540" b="0"/>
            <wp:docPr id="68668651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686510" name="图片 2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341013" cy="2160000"/>
                    </a:xfrm>
                    <a:prstGeom prst="rect">
                      <a:avLst/>
                    </a:prstGeom>
                    <a:noFill/>
                    <a:ln>
                      <a:noFill/>
                    </a:ln>
                  </pic:spPr>
                </pic:pic>
              </a:graphicData>
            </a:graphic>
          </wp:inline>
        </w:drawing>
      </w:r>
      <w:r>
        <w:rPr>
          <w:rFonts w:hint="eastAsia"/>
        </w:rPr>
        <w:t xml:space="preserve"> </w:t>
      </w:r>
      <w:r>
        <w:drawing>
          <wp:inline distT="0" distB="0" distL="0" distR="0">
            <wp:extent cx="2330450" cy="2159635"/>
            <wp:effectExtent l="0" t="0" r="0" b="0"/>
            <wp:docPr id="24962774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27747" name="图片 2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2331000" cy="2160000"/>
                    </a:xfrm>
                    <a:prstGeom prst="rect">
                      <a:avLst/>
                    </a:prstGeom>
                    <a:noFill/>
                    <a:ln>
                      <a:noFill/>
                    </a:ln>
                  </pic:spPr>
                </pic:pic>
              </a:graphicData>
            </a:graphic>
          </wp:inline>
        </w:drawing>
      </w:r>
    </w:p>
    <w:p w14:paraId="6F9AB1A1">
      <w:pPr>
        <w:pStyle w:val="37"/>
        <w:spacing w:before="255"/>
        <w:ind w:left="0"/>
        <w:jc w:val="center"/>
        <w:rPr>
          <w:color w:val="000000"/>
        </w:rPr>
      </w:pPr>
      <w:r>
        <w:rPr>
          <w:rFonts w:hint="eastAsia"/>
          <w:color w:val="000000"/>
        </w:rPr>
        <w:t>（a）</w:t>
      </w:r>
      <w:r>
        <w:rPr>
          <w:color w:val="000000"/>
        </w:rPr>
        <w:t xml:space="preserve">×200SEM                     </w:t>
      </w:r>
      <w:r>
        <w:rPr>
          <w:rFonts w:hint="eastAsia"/>
          <w:color w:val="000000"/>
        </w:rPr>
        <w:t>（b）</w:t>
      </w:r>
      <w:r>
        <w:rPr>
          <w:color w:val="000000"/>
        </w:rPr>
        <w:t>×500SEM</w:t>
      </w:r>
    </w:p>
    <w:p w14:paraId="5CA8C684">
      <w:pPr>
        <w:pStyle w:val="37"/>
        <w:spacing w:before="255"/>
        <w:ind w:left="0"/>
        <w:jc w:val="center"/>
        <w:rPr>
          <w:color w:val="000000"/>
        </w:rPr>
      </w:pPr>
      <w:r>
        <w:drawing>
          <wp:inline distT="0" distB="0" distL="0" distR="0">
            <wp:extent cx="2341880" cy="2159635"/>
            <wp:effectExtent l="0" t="0" r="1270" b="0"/>
            <wp:docPr id="172909552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095520" name="图片 2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341928" cy="2160000"/>
                    </a:xfrm>
                    <a:prstGeom prst="rect">
                      <a:avLst/>
                    </a:prstGeom>
                    <a:noFill/>
                    <a:ln>
                      <a:noFill/>
                    </a:ln>
                  </pic:spPr>
                </pic:pic>
              </a:graphicData>
            </a:graphic>
          </wp:inline>
        </w:drawing>
      </w:r>
      <w:r>
        <w:rPr>
          <w:rFonts w:hint="eastAsia"/>
          <w:color w:val="000000"/>
        </w:rPr>
        <w:t xml:space="preserve"> </w:t>
      </w:r>
      <w:r>
        <w:drawing>
          <wp:inline distT="0" distB="0" distL="0" distR="0">
            <wp:extent cx="2339340" cy="2159635"/>
            <wp:effectExtent l="0" t="0" r="3810" b="0"/>
            <wp:docPr id="185332370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323709" name="图片 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339630" cy="2160000"/>
                    </a:xfrm>
                    <a:prstGeom prst="rect">
                      <a:avLst/>
                    </a:prstGeom>
                    <a:noFill/>
                    <a:ln>
                      <a:noFill/>
                    </a:ln>
                  </pic:spPr>
                </pic:pic>
              </a:graphicData>
            </a:graphic>
          </wp:inline>
        </w:drawing>
      </w:r>
    </w:p>
    <w:p w14:paraId="51D48FDE">
      <w:pPr>
        <w:pStyle w:val="37"/>
        <w:spacing w:before="255"/>
        <w:ind w:left="0"/>
        <w:jc w:val="center"/>
        <w:rPr>
          <w:color w:val="000000"/>
        </w:rPr>
      </w:pPr>
      <w:r>
        <w:rPr>
          <w:rFonts w:hint="eastAsia"/>
          <w:color w:val="000000"/>
        </w:rPr>
        <w:t>（c）</w:t>
      </w:r>
      <w:r>
        <w:rPr>
          <w:color w:val="000000"/>
        </w:rPr>
        <w:t xml:space="preserve">×2000SEM                 </w:t>
      </w:r>
      <w:r>
        <w:rPr>
          <w:rFonts w:hint="eastAsia"/>
          <w:color w:val="000000"/>
        </w:rPr>
        <w:t>（d）</w:t>
      </w:r>
      <w:r>
        <w:rPr>
          <w:color w:val="000000"/>
        </w:rPr>
        <w:t>×5000SEM</w:t>
      </w:r>
    </w:p>
    <w:p w14:paraId="2FBC67F2">
      <w:pPr>
        <w:pStyle w:val="37"/>
        <w:spacing w:before="255"/>
        <w:ind w:left="0"/>
        <w:jc w:val="center"/>
        <w:rPr>
          <w:color w:val="000000"/>
        </w:rPr>
      </w:pPr>
      <w:bookmarkStart w:id="3" w:name="_Ref230705860"/>
      <w:r>
        <w:rPr>
          <w:rFonts w:hint="eastAsia"/>
          <w:color w:val="000000"/>
        </w:rPr>
        <w:t>图</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rFonts w:hint="eastAsia"/>
          <w:color w:val="000000"/>
        </w:rPr>
        <w:t>1</w:t>
      </w:r>
      <w:r>
        <w:rPr>
          <w:color w:val="000000"/>
        </w:rPr>
        <w:fldChar w:fldCharType="end"/>
      </w:r>
      <w:bookmarkEnd w:id="3"/>
      <w:r>
        <w:rPr>
          <w:rFonts w:hint="eastAsia"/>
          <w:color w:val="000000"/>
        </w:rPr>
        <w:t xml:space="preserve"> </w:t>
      </w:r>
      <w:r>
        <w:t>VHF（二级灰）</w:t>
      </w:r>
    </w:p>
    <w:p w14:paraId="0B47F2C5">
      <w:pPr>
        <w:pStyle w:val="37"/>
        <w:ind w:left="0"/>
        <w:jc w:val="center"/>
        <w:rPr>
          <w:szCs w:val="21"/>
        </w:rPr>
      </w:pPr>
      <w:r>
        <w:drawing>
          <wp:inline distT="0" distB="0" distL="0" distR="0">
            <wp:extent cx="2345690" cy="2159635"/>
            <wp:effectExtent l="0" t="0" r="0" b="0"/>
            <wp:docPr id="36497104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971044" name="图片 2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345762" cy="2160000"/>
                    </a:xfrm>
                    <a:prstGeom prst="rect">
                      <a:avLst/>
                    </a:prstGeom>
                    <a:noFill/>
                    <a:ln>
                      <a:noFill/>
                    </a:ln>
                  </pic:spPr>
                </pic:pic>
              </a:graphicData>
            </a:graphic>
          </wp:inline>
        </w:drawing>
      </w:r>
      <w:r>
        <w:rPr>
          <w:rFonts w:hint="eastAsia"/>
          <w:szCs w:val="21"/>
        </w:rPr>
        <w:t xml:space="preserve"> </w:t>
      </w:r>
      <w:r>
        <w:drawing>
          <wp:inline distT="0" distB="0" distL="0" distR="0">
            <wp:extent cx="2345690" cy="2159635"/>
            <wp:effectExtent l="0" t="0" r="0" b="0"/>
            <wp:docPr id="117971224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712241" name="图片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345762" cy="2160000"/>
                    </a:xfrm>
                    <a:prstGeom prst="rect">
                      <a:avLst/>
                    </a:prstGeom>
                    <a:noFill/>
                    <a:ln>
                      <a:noFill/>
                    </a:ln>
                  </pic:spPr>
                </pic:pic>
              </a:graphicData>
            </a:graphic>
          </wp:inline>
        </w:drawing>
      </w:r>
    </w:p>
    <w:p w14:paraId="623937CC">
      <w:pPr>
        <w:pStyle w:val="37"/>
        <w:ind w:left="0"/>
        <w:jc w:val="center"/>
      </w:pPr>
      <w:r>
        <w:rPr>
          <w:rFonts w:hint="eastAsia"/>
        </w:rPr>
        <w:t>（a）</w:t>
      </w:r>
      <w:r>
        <w:t xml:space="preserve">×2000SEM     </w:t>
      </w:r>
      <w:r>
        <w:rPr>
          <w:rFonts w:hint="eastAsia"/>
        </w:rPr>
        <w:t xml:space="preserve">      </w:t>
      </w:r>
      <w:r>
        <w:t xml:space="preserve">     </w:t>
      </w:r>
      <w:r>
        <w:rPr>
          <w:rFonts w:hint="eastAsia"/>
        </w:rPr>
        <w:t>（b）</w:t>
      </w:r>
      <w:r>
        <w:t>×5000SEM</w:t>
      </w:r>
    </w:p>
    <w:p w14:paraId="481E6AD8">
      <w:pPr>
        <w:pStyle w:val="37"/>
        <w:ind w:left="0"/>
        <w:jc w:val="center"/>
      </w:pPr>
      <w:r>
        <w:drawing>
          <wp:inline distT="0" distB="0" distL="0" distR="0">
            <wp:extent cx="2356485" cy="2159635"/>
            <wp:effectExtent l="0" t="0" r="5715" b="0"/>
            <wp:docPr id="27439716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397160" name="图片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357115" cy="2160000"/>
                    </a:xfrm>
                    <a:prstGeom prst="rect">
                      <a:avLst/>
                    </a:prstGeom>
                    <a:noFill/>
                    <a:ln>
                      <a:noFill/>
                    </a:ln>
                  </pic:spPr>
                </pic:pic>
              </a:graphicData>
            </a:graphic>
          </wp:inline>
        </w:drawing>
      </w:r>
      <w:r>
        <w:rPr>
          <w:rFonts w:hint="eastAsia"/>
        </w:rPr>
        <w:t xml:space="preserve"> </w:t>
      </w:r>
      <w:r>
        <w:drawing>
          <wp:inline distT="0" distB="0" distL="0" distR="0">
            <wp:extent cx="2346960" cy="2159635"/>
            <wp:effectExtent l="0" t="0" r="0" b="0"/>
            <wp:docPr id="5832420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242094" name="图片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347082" cy="2160000"/>
                    </a:xfrm>
                    <a:prstGeom prst="rect">
                      <a:avLst/>
                    </a:prstGeom>
                    <a:noFill/>
                    <a:ln>
                      <a:noFill/>
                    </a:ln>
                  </pic:spPr>
                </pic:pic>
              </a:graphicData>
            </a:graphic>
          </wp:inline>
        </w:drawing>
      </w:r>
    </w:p>
    <w:p w14:paraId="51F5C339">
      <w:pPr>
        <w:pStyle w:val="37"/>
        <w:ind w:left="0"/>
        <w:jc w:val="center"/>
      </w:pPr>
      <w:r>
        <w:rPr>
          <w:rFonts w:hint="eastAsia"/>
        </w:rPr>
        <w:t>（c）</w:t>
      </w:r>
      <w:r>
        <w:t xml:space="preserve">×5000SEM   </w:t>
      </w:r>
      <w:r>
        <w:rPr>
          <w:rFonts w:hint="eastAsia"/>
        </w:rPr>
        <w:t xml:space="preserve">          </w:t>
      </w:r>
      <w:r>
        <w:t xml:space="preserve">     </w:t>
      </w:r>
      <w:r>
        <w:rPr>
          <w:rFonts w:hint="eastAsia"/>
        </w:rPr>
        <w:t>（d）</w:t>
      </w:r>
      <w:r>
        <w:t>×10000SEM</w:t>
      </w:r>
    </w:p>
    <w:p w14:paraId="2E99C6EE">
      <w:pPr>
        <w:pStyle w:val="37"/>
        <w:ind w:left="0"/>
        <w:jc w:val="center"/>
      </w:pPr>
      <w:bookmarkStart w:id="4" w:name="_Ref230706238"/>
      <w:r>
        <w:rPr>
          <w:rFonts w:hint="eastAsia"/>
          <w:color w:val="000000"/>
        </w:rPr>
        <w:t>图</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2</w:t>
      </w:r>
      <w:r>
        <w:rPr>
          <w:color w:val="000000"/>
        </w:rPr>
        <w:fldChar w:fldCharType="end"/>
      </w:r>
      <w:bookmarkEnd w:id="4"/>
      <w:r>
        <w:rPr>
          <w:rFonts w:hint="eastAsia"/>
          <w:color w:val="000000"/>
        </w:rPr>
        <w:t xml:space="preserve"> </w:t>
      </w:r>
      <w:r>
        <w:t>VHSF2-700-120-135-10</w:t>
      </w:r>
    </w:p>
    <w:p w14:paraId="351DDF46">
      <w:pPr>
        <w:pStyle w:val="37"/>
        <w:ind w:left="0"/>
        <w:jc w:val="center"/>
        <w:rPr>
          <w:szCs w:val="21"/>
        </w:rPr>
      </w:pPr>
      <w:r>
        <w:drawing>
          <wp:inline distT="0" distB="0" distL="0" distR="0">
            <wp:extent cx="2343785" cy="2159635"/>
            <wp:effectExtent l="0" t="0" r="0" b="0"/>
            <wp:docPr id="112536877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368777" name="图片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344065" cy="2160000"/>
                    </a:xfrm>
                    <a:prstGeom prst="rect">
                      <a:avLst/>
                    </a:prstGeom>
                    <a:noFill/>
                    <a:ln>
                      <a:noFill/>
                    </a:ln>
                  </pic:spPr>
                </pic:pic>
              </a:graphicData>
            </a:graphic>
          </wp:inline>
        </w:drawing>
      </w:r>
      <w:r>
        <w:rPr>
          <w:rFonts w:hint="eastAsia"/>
          <w:szCs w:val="21"/>
        </w:rPr>
        <w:t xml:space="preserve"> </w:t>
      </w:r>
      <w:r>
        <w:drawing>
          <wp:inline distT="0" distB="0" distL="0" distR="0">
            <wp:extent cx="2344420" cy="2159635"/>
            <wp:effectExtent l="0" t="0" r="0" b="0"/>
            <wp:docPr id="17047367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736732" name="图片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344910" cy="2160000"/>
                    </a:xfrm>
                    <a:prstGeom prst="rect">
                      <a:avLst/>
                    </a:prstGeom>
                    <a:noFill/>
                    <a:ln>
                      <a:noFill/>
                    </a:ln>
                  </pic:spPr>
                </pic:pic>
              </a:graphicData>
            </a:graphic>
          </wp:inline>
        </w:drawing>
      </w:r>
    </w:p>
    <w:p w14:paraId="560B4F1A">
      <w:pPr>
        <w:pStyle w:val="37"/>
        <w:ind w:left="0"/>
        <w:jc w:val="center"/>
      </w:pPr>
      <w:r>
        <w:rPr>
          <w:rFonts w:hint="eastAsia"/>
        </w:rPr>
        <w:t>（a）</w:t>
      </w:r>
      <w:r>
        <w:t xml:space="preserve">×1000SEM     </w:t>
      </w:r>
      <w:r>
        <w:rPr>
          <w:rFonts w:hint="eastAsia"/>
        </w:rPr>
        <w:t xml:space="preserve">       </w:t>
      </w:r>
      <w:r>
        <w:t xml:space="preserve">    </w:t>
      </w:r>
      <w:r>
        <w:rPr>
          <w:rFonts w:hint="eastAsia"/>
          <w:color w:val="000000"/>
        </w:rPr>
        <w:t>（b）</w:t>
      </w:r>
      <w:r>
        <w:t>×5000SEM</w:t>
      </w:r>
    </w:p>
    <w:p w14:paraId="0AE68E03">
      <w:pPr>
        <w:pStyle w:val="37"/>
        <w:ind w:left="0"/>
        <w:jc w:val="center"/>
      </w:pPr>
      <w:r>
        <w:drawing>
          <wp:inline distT="0" distB="0" distL="0" distR="0">
            <wp:extent cx="2342515" cy="2159635"/>
            <wp:effectExtent l="0" t="0" r="635" b="0"/>
            <wp:docPr id="85102880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28803" name="图片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342787" cy="2160000"/>
                    </a:xfrm>
                    <a:prstGeom prst="rect">
                      <a:avLst/>
                    </a:prstGeom>
                    <a:noFill/>
                    <a:ln>
                      <a:noFill/>
                    </a:ln>
                  </pic:spPr>
                </pic:pic>
              </a:graphicData>
            </a:graphic>
          </wp:inline>
        </w:drawing>
      </w:r>
      <w:r>
        <w:rPr>
          <w:rFonts w:hint="eastAsia"/>
        </w:rPr>
        <w:t xml:space="preserve"> </w:t>
      </w:r>
      <w:r>
        <w:drawing>
          <wp:inline distT="0" distB="0" distL="0" distR="0">
            <wp:extent cx="2343785" cy="2159635"/>
            <wp:effectExtent l="0" t="0" r="0" b="0"/>
            <wp:docPr id="132343255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432559" name="图片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344065" cy="2160000"/>
                    </a:xfrm>
                    <a:prstGeom prst="rect">
                      <a:avLst/>
                    </a:prstGeom>
                    <a:noFill/>
                    <a:ln>
                      <a:noFill/>
                    </a:ln>
                  </pic:spPr>
                </pic:pic>
              </a:graphicData>
            </a:graphic>
          </wp:inline>
        </w:drawing>
      </w:r>
    </w:p>
    <w:p w14:paraId="49E2BC57">
      <w:pPr>
        <w:pStyle w:val="37"/>
        <w:ind w:left="0"/>
        <w:jc w:val="center"/>
      </w:pPr>
      <w:r>
        <w:rPr>
          <w:rFonts w:hint="eastAsia"/>
          <w:color w:val="000000"/>
        </w:rPr>
        <w:t>（c）</w:t>
      </w:r>
      <w:r>
        <w:t xml:space="preserve">×5000SEM     </w:t>
      </w:r>
      <w:r>
        <w:rPr>
          <w:rFonts w:hint="eastAsia"/>
        </w:rPr>
        <w:t xml:space="preserve">      </w:t>
      </w:r>
      <w:r>
        <w:t xml:space="preserve">  </w:t>
      </w:r>
      <w:r>
        <w:rPr>
          <w:rFonts w:hint="eastAsia"/>
          <w:color w:val="000000"/>
        </w:rPr>
        <w:t>（d）</w:t>
      </w:r>
      <w:r>
        <w:t>×10000SEM</w:t>
      </w:r>
    </w:p>
    <w:p w14:paraId="6BBFBF0F">
      <w:pPr>
        <w:pStyle w:val="37"/>
        <w:ind w:left="0"/>
        <w:jc w:val="center"/>
      </w:pPr>
      <w:bookmarkStart w:id="5" w:name="_Ref230706108"/>
      <w:bookmarkStart w:id="6" w:name="_Hlk230719660"/>
      <w:r>
        <w:rPr>
          <w:rFonts w:hint="eastAsia"/>
          <w:color w:val="000000"/>
        </w:rPr>
        <w:t>图</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3</w:t>
      </w:r>
      <w:r>
        <w:rPr>
          <w:color w:val="000000"/>
        </w:rPr>
        <w:fldChar w:fldCharType="end"/>
      </w:r>
      <w:bookmarkEnd w:id="5"/>
      <w:r>
        <w:rPr>
          <w:rFonts w:hint="eastAsia"/>
          <w:color w:val="000000"/>
        </w:rPr>
        <w:t xml:space="preserve"> </w:t>
      </w:r>
      <w:bookmarkEnd w:id="6"/>
      <w:r>
        <w:t>VHCF2-320-100-135-10</w:t>
      </w:r>
    </w:p>
    <w:p w14:paraId="1A6038BD">
      <w:pPr>
        <w:pStyle w:val="37"/>
        <w:ind w:left="0" w:firstLine="480" w:firstLineChars="200"/>
      </w:pPr>
      <w:r>
        <w:t>从</w:t>
      </w:r>
      <w:r>
        <w:fldChar w:fldCharType="begin"/>
      </w:r>
      <w:r>
        <w:instrText xml:space="preserve"> REF _Ref230705066 \h  \* MERGEFORMAT </w:instrText>
      </w:r>
      <w:r>
        <w:fldChar w:fldCharType="separate"/>
      </w:r>
      <w:r>
        <w:rPr>
          <w:rFonts w:hint="eastAsia"/>
        </w:rPr>
        <w:t>表</w:t>
      </w:r>
      <w:r>
        <w:t>3</w:t>
      </w:r>
      <w:r>
        <w:fldChar w:fldCharType="end"/>
      </w:r>
      <w:r>
        <w:t>分析，物理改性粉煤灰长径比及圆形度得到改善，长径比降低，圆形度提高。从</w:t>
      </w:r>
      <w:r>
        <w:fldChar w:fldCharType="begin"/>
      </w:r>
      <w:r>
        <w:instrText xml:space="preserve"> REF _Ref230705860 \h  \* MERGEFORMAT </w:instrText>
      </w:r>
      <w:r>
        <w:fldChar w:fldCharType="separate"/>
      </w:r>
      <w:r>
        <w:rPr>
          <w:rFonts w:hint="eastAsia"/>
          <w:color w:val="000000"/>
        </w:rPr>
        <w:t>图1</w:t>
      </w:r>
      <w:r>
        <w:fldChar w:fldCharType="end"/>
      </w:r>
      <w:r>
        <w:rPr>
          <w:rFonts w:hint="eastAsia"/>
        </w:rPr>
        <w:t>~</w:t>
      </w:r>
      <w:r>
        <w:fldChar w:fldCharType="begin"/>
      </w:r>
      <w:r>
        <w:instrText xml:space="preserve"> </w:instrText>
      </w:r>
      <w:r>
        <w:rPr>
          <w:rFonts w:hint="eastAsia"/>
        </w:rPr>
        <w:instrText xml:space="preserve">REF _Ref230706108 \h</w:instrText>
      </w:r>
      <w:r>
        <w:instrText xml:space="preserve">  \* MERGEFORMAT </w:instrText>
      </w:r>
      <w:r>
        <w:fldChar w:fldCharType="separate"/>
      </w:r>
      <w:r>
        <w:rPr>
          <w:rFonts w:hint="eastAsia"/>
          <w:color w:val="000000"/>
        </w:rPr>
        <w:t>图</w:t>
      </w:r>
      <w:r>
        <w:rPr>
          <w:color w:val="000000"/>
        </w:rPr>
        <w:t>3</w:t>
      </w:r>
      <w:r>
        <w:fldChar w:fldCharType="end"/>
      </w:r>
      <w:r>
        <w:t>分析，研磨整形后的粉煤灰玻璃微珠保存相对完好，研磨整形过程中仅将团聚在一起的玻璃微珠进行解离而未破坏玻璃微珠，用于水泥混凝土中可继续发挥粉煤灰“颗粒效应”，降低粉煤灰需水量比，改善水泥混凝土工作性，这与</w:t>
      </w:r>
      <w:r>
        <w:fldChar w:fldCharType="begin"/>
      </w:r>
      <w:r>
        <w:instrText xml:space="preserve"> REF _Ref230705065 \h  \* MERGEFORMAT </w:instrText>
      </w:r>
      <w:r>
        <w:fldChar w:fldCharType="separate"/>
      </w:r>
      <w:r>
        <w:rPr>
          <w:rFonts w:hint="eastAsia"/>
        </w:rPr>
        <w:t>表</w:t>
      </w:r>
      <w:r>
        <w:t>2</w:t>
      </w:r>
      <w:r>
        <w:fldChar w:fldCharType="end"/>
      </w:r>
      <w:r>
        <w:t>中颗粒形貌改善结果相吻合。</w:t>
      </w:r>
    </w:p>
    <w:p w14:paraId="786D6A0C">
      <w:pPr>
        <w:pStyle w:val="37"/>
        <w:ind w:left="0" w:firstLine="480" w:firstLineChars="200"/>
      </w:pPr>
      <w:r>
        <w:t>颗粒形貌是决定粉煤灰性质的主要因素之一，粉煤灰中的球状玻璃微珠的滚珠作用是粉煤灰功能效应的主要来源，微珠颗粒的形状和数量的多少对粉煤灰的质量起决定性作用。因此，人们往往比较担心粉磨会对球状微珠产生较大的破坏，从而影响粉煤灰对水泥混凝土工作性的促进作用。</w:t>
      </w:r>
    </w:p>
    <w:p w14:paraId="188A41D4">
      <w:pPr>
        <w:pStyle w:val="37"/>
        <w:ind w:left="0" w:firstLine="480" w:firstLineChars="200"/>
      </w:pPr>
      <w:r>
        <w:t>图1原状灰SEM图可以看出，物理改性粉煤灰大部分的玻璃微珠都是形状比较规则的富硅或者富铁球状微珠，这些微珠结构致密，表面光滑。除此之外，还存在着一些包含较小微珠的球状包体，和由许多较小的微珠粘合在一起的微珠粘连体。这些微珠包体和微珠黏连体的存在，使得对粉煤灰的磨细有了更充分的理由，因为在磨细过程中，这些微珠包体的破坏和粘连体的破解，都能够产生和释放新的球状微珠，尽管也有一些较大的微珠在磨细过程中被破坏，由于又有新的微珠来补充，从而不会对粉煤灰中球状微珠总的数量产生较大的影响，还有可能增加，这就是磨细不会对粉煤灰的形态效应产生负面影响的根本理由。</w:t>
      </w:r>
    </w:p>
    <w:p w14:paraId="0B0C120C">
      <w:pPr>
        <w:pStyle w:val="37"/>
        <w:ind w:left="0" w:firstLine="480" w:firstLineChars="200"/>
      </w:pPr>
      <w:r>
        <w:t>从</w:t>
      </w:r>
      <w:r>
        <w:fldChar w:fldCharType="begin"/>
      </w:r>
      <w:r>
        <w:instrText xml:space="preserve"> </w:instrText>
      </w:r>
      <w:r>
        <w:rPr>
          <w:rFonts w:hint="eastAsia"/>
        </w:rPr>
        <w:instrText xml:space="preserve">REF _Ref230706238 \h</w:instrText>
      </w:r>
      <w:r>
        <w:instrText xml:space="preserve">  \* MERGEFORMAT </w:instrText>
      </w:r>
      <w:r>
        <w:fldChar w:fldCharType="separate"/>
      </w:r>
      <w:r>
        <w:rPr>
          <w:rFonts w:hint="eastAsia"/>
          <w:color w:val="000000"/>
        </w:rPr>
        <w:t>图</w:t>
      </w:r>
      <w:r>
        <w:rPr>
          <w:color w:val="000000"/>
        </w:rPr>
        <w:t>2</w:t>
      </w:r>
      <w:r>
        <w:fldChar w:fldCharType="end"/>
      </w:r>
      <w:r>
        <w:rPr>
          <w:rFonts w:hint="eastAsia"/>
        </w:rPr>
        <w:t>~</w:t>
      </w:r>
      <w:r>
        <w:fldChar w:fldCharType="begin"/>
      </w:r>
      <w:r>
        <w:instrText xml:space="preserve"> REF _Ref230706108 \h  \* MERGEFORMAT </w:instrText>
      </w:r>
      <w:r>
        <w:fldChar w:fldCharType="separate"/>
      </w:r>
      <w:r>
        <w:rPr>
          <w:rFonts w:hint="eastAsia"/>
          <w:color w:val="000000"/>
        </w:rPr>
        <w:t>图</w:t>
      </w:r>
      <w:r>
        <w:rPr>
          <w:color w:val="000000"/>
        </w:rPr>
        <w:t>3</w:t>
      </w:r>
      <w:r>
        <w:fldChar w:fldCharType="end"/>
      </w:r>
      <w:r>
        <w:t>研磨整形后物理改性粉煤灰SEM图可以看出，原状粉煤灰经过磨细之后，球状微珠的粒径普遍有所减小，原来粒径较大的不规则的多孔玻璃体被粉碎成了细小的碎屑，微珠的粘连体也得到了破解，再进一步超细粉磨之后，有相当一部分粒径较大的球状微珠被破坏，可以看到许多空心的微珠碎片，但是其中仍然存在大量的更小的球状微珠，这些微珠大小在3</w:t>
      </w:r>
      <w:r>
        <w:rPr>
          <w:rFonts w:hint="eastAsia"/>
        </w:rPr>
        <w:t>~</w:t>
      </w:r>
      <w:r>
        <w:t>4μm之间，它们的存在使得超细粉煤灰保持了良好的形态。因此，人们所普遍担心的在超细粉磨过程中会大量破坏球状微珠的情况并没有发生，相反，由于多孔玻璃体的细碎和微珠粘连体的破解，使磨细灰的形态效应更好。对于超细粉煤灰来说，其良好的填充性能也会对水泥混凝土的工作性有一定的补偿作用。</w:t>
      </w:r>
    </w:p>
    <w:p w14:paraId="25F3E8C1">
      <w:pPr>
        <w:pStyle w:val="37"/>
        <w:numPr>
          <w:ilvl w:val="3"/>
          <w:numId w:val="2"/>
        </w:numPr>
        <w:ind w:firstLine="482" w:firstLineChars="200"/>
        <w:outlineLvl w:val="3"/>
        <w:rPr>
          <w:b/>
          <w:bCs/>
        </w:rPr>
      </w:pPr>
      <w:r>
        <w:rPr>
          <w:b/>
          <w:bCs/>
        </w:rPr>
        <w:t>福建漳州后石电厂粉煤灰</w:t>
      </w:r>
    </w:p>
    <w:p w14:paraId="6AD5E87A">
      <w:pPr>
        <w:pStyle w:val="37"/>
        <w:ind w:left="0" w:firstLine="480" w:firstLineChars="200"/>
      </w:pPr>
      <w:r>
        <w:t>浙江温州乐清电厂粉煤灰试验结果见</w:t>
      </w:r>
      <w:r>
        <w:fldChar w:fldCharType="begin"/>
      </w:r>
      <w:r>
        <w:instrText xml:space="preserve"> REF _Ref230706444 \h  \* MERGEFORMAT </w:instrText>
      </w:r>
      <w:r>
        <w:fldChar w:fldCharType="separate"/>
      </w:r>
      <w:r>
        <w:rPr>
          <w:rFonts w:hint="eastAsia"/>
        </w:rPr>
        <w:t>表</w:t>
      </w:r>
      <w:r>
        <w:t>4</w:t>
      </w:r>
      <w:r>
        <w:fldChar w:fldCharType="end"/>
      </w:r>
      <w:r>
        <w:t>。</w:t>
      </w:r>
    </w:p>
    <w:p w14:paraId="4FFFD08A">
      <w:pPr>
        <w:pStyle w:val="37"/>
        <w:ind w:firstLine="480"/>
      </w:pPr>
      <w:bookmarkStart w:id="7" w:name="_Ref230706444"/>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4</w:t>
      </w:r>
      <w:r>
        <w:fldChar w:fldCharType="end"/>
      </w:r>
      <w:bookmarkEnd w:id="7"/>
      <w:r>
        <w:rPr>
          <w:rFonts w:hint="eastAsia"/>
        </w:rPr>
        <w:t xml:space="preserve"> </w:t>
      </w:r>
      <w:r>
        <w:t>浙江温州某电厂粉煤灰粉磨整形前后物理性能</w:t>
      </w:r>
    </w:p>
    <w:tbl>
      <w:tblPr>
        <w:tblStyle w:val="20"/>
        <w:tblW w:w="89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9"/>
        <w:gridCol w:w="993"/>
        <w:gridCol w:w="850"/>
        <w:gridCol w:w="709"/>
        <w:gridCol w:w="2268"/>
        <w:gridCol w:w="709"/>
        <w:gridCol w:w="2293"/>
      </w:tblGrid>
      <w:tr w14:paraId="1CFA6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22" w:type="dxa"/>
            <w:gridSpan w:val="2"/>
            <w:tcBorders>
              <w:top w:val="single" w:color="auto" w:sz="4" w:space="0"/>
              <w:left w:val="single" w:color="auto" w:sz="4" w:space="0"/>
              <w:bottom w:val="single" w:color="auto" w:sz="4" w:space="0"/>
              <w:right w:val="single" w:color="auto" w:sz="4" w:space="0"/>
            </w:tcBorders>
            <w:vAlign w:val="center"/>
          </w:tcPr>
          <w:p w14:paraId="23F01427">
            <w:pPr>
              <w:pStyle w:val="37"/>
              <w:spacing w:line="240" w:lineRule="auto"/>
              <w:ind w:left="0"/>
              <w:jc w:val="center"/>
              <w:rPr>
                <w:kern w:val="0"/>
              </w:rPr>
            </w:pPr>
            <w:r>
              <w:rPr>
                <w:kern w:val="0"/>
              </w:rPr>
              <w:t>编号</w:t>
            </w:r>
          </w:p>
        </w:tc>
        <w:tc>
          <w:tcPr>
            <w:tcW w:w="850" w:type="dxa"/>
            <w:tcBorders>
              <w:top w:val="single" w:color="auto" w:sz="4" w:space="0"/>
              <w:left w:val="single" w:color="auto" w:sz="4" w:space="0"/>
              <w:bottom w:val="single" w:color="auto" w:sz="4" w:space="0"/>
              <w:right w:val="single" w:color="auto" w:sz="4" w:space="0"/>
            </w:tcBorders>
            <w:vAlign w:val="center"/>
          </w:tcPr>
          <w:p w14:paraId="4C41E3B9">
            <w:pPr>
              <w:pStyle w:val="37"/>
              <w:spacing w:line="240" w:lineRule="auto"/>
              <w:ind w:left="0"/>
              <w:jc w:val="center"/>
              <w:rPr>
                <w:kern w:val="0"/>
              </w:rPr>
            </w:pPr>
            <w:r>
              <w:rPr>
                <w:kern w:val="0"/>
              </w:rPr>
              <w:t>样品1</w:t>
            </w:r>
          </w:p>
        </w:tc>
        <w:tc>
          <w:tcPr>
            <w:tcW w:w="709" w:type="dxa"/>
            <w:tcBorders>
              <w:top w:val="single" w:color="auto" w:sz="4" w:space="0"/>
              <w:left w:val="single" w:color="auto" w:sz="4" w:space="0"/>
              <w:bottom w:val="single" w:color="auto" w:sz="4" w:space="0"/>
              <w:right w:val="single" w:color="auto" w:sz="4" w:space="0"/>
            </w:tcBorders>
            <w:vAlign w:val="center"/>
          </w:tcPr>
          <w:p w14:paraId="16CA1BF5">
            <w:pPr>
              <w:pStyle w:val="37"/>
              <w:spacing w:line="240" w:lineRule="auto"/>
              <w:ind w:left="0"/>
              <w:jc w:val="center"/>
              <w:rPr>
                <w:kern w:val="0"/>
              </w:rPr>
            </w:pPr>
            <w:r>
              <w:rPr>
                <w:kern w:val="0"/>
              </w:rPr>
              <w:t>样品2</w:t>
            </w:r>
          </w:p>
        </w:tc>
        <w:tc>
          <w:tcPr>
            <w:tcW w:w="2268" w:type="dxa"/>
            <w:tcBorders>
              <w:top w:val="single" w:color="auto" w:sz="4" w:space="0"/>
              <w:left w:val="single" w:color="auto" w:sz="4" w:space="0"/>
              <w:bottom w:val="single" w:color="auto" w:sz="4" w:space="0"/>
              <w:right w:val="single" w:color="auto" w:sz="4" w:space="0"/>
            </w:tcBorders>
            <w:vAlign w:val="center"/>
          </w:tcPr>
          <w:p w14:paraId="629F411F">
            <w:pPr>
              <w:pStyle w:val="37"/>
              <w:spacing w:line="240" w:lineRule="auto"/>
              <w:ind w:left="0"/>
              <w:jc w:val="center"/>
              <w:rPr>
                <w:kern w:val="0"/>
              </w:rPr>
            </w:pPr>
            <w:r>
              <w:rPr>
                <w:kern w:val="0"/>
              </w:rPr>
              <w:t>VZ2CF0.8-360-120-150-20</w:t>
            </w:r>
          </w:p>
        </w:tc>
        <w:tc>
          <w:tcPr>
            <w:tcW w:w="709" w:type="dxa"/>
            <w:tcBorders>
              <w:top w:val="single" w:color="auto" w:sz="4" w:space="0"/>
              <w:left w:val="single" w:color="auto" w:sz="4" w:space="0"/>
              <w:bottom w:val="single" w:color="auto" w:sz="4" w:space="0"/>
              <w:right w:val="single" w:color="auto" w:sz="4" w:space="0"/>
            </w:tcBorders>
            <w:vAlign w:val="center"/>
          </w:tcPr>
          <w:p w14:paraId="1292282B">
            <w:pPr>
              <w:pStyle w:val="37"/>
              <w:spacing w:line="240" w:lineRule="auto"/>
              <w:ind w:left="0"/>
              <w:jc w:val="center"/>
              <w:rPr>
                <w:kern w:val="0"/>
              </w:rPr>
            </w:pPr>
            <w:r>
              <w:rPr>
                <w:kern w:val="0"/>
              </w:rPr>
              <w:t>样品3</w:t>
            </w:r>
          </w:p>
        </w:tc>
        <w:tc>
          <w:tcPr>
            <w:tcW w:w="2293" w:type="dxa"/>
            <w:tcBorders>
              <w:top w:val="single" w:color="auto" w:sz="4" w:space="0"/>
              <w:left w:val="single" w:color="auto" w:sz="4" w:space="0"/>
              <w:bottom w:val="single" w:color="auto" w:sz="4" w:space="0"/>
              <w:right w:val="single" w:color="auto" w:sz="4" w:space="0"/>
            </w:tcBorders>
            <w:vAlign w:val="center"/>
          </w:tcPr>
          <w:p w14:paraId="0C1BAE4D">
            <w:pPr>
              <w:pStyle w:val="37"/>
              <w:spacing w:line="240" w:lineRule="auto"/>
              <w:ind w:left="0"/>
              <w:jc w:val="center"/>
              <w:rPr>
                <w:kern w:val="0"/>
              </w:rPr>
            </w:pPr>
            <w:r>
              <w:rPr>
                <w:kern w:val="0"/>
              </w:rPr>
              <w:t>VZ3CF0.8-360-120-150-30</w:t>
            </w:r>
          </w:p>
        </w:tc>
      </w:tr>
      <w:tr w14:paraId="2001F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22" w:type="dxa"/>
            <w:gridSpan w:val="2"/>
            <w:tcBorders>
              <w:top w:val="single" w:color="auto" w:sz="4" w:space="0"/>
              <w:left w:val="single" w:color="auto" w:sz="4" w:space="0"/>
              <w:bottom w:val="single" w:color="auto" w:sz="4" w:space="0"/>
              <w:right w:val="single" w:color="auto" w:sz="4" w:space="0"/>
            </w:tcBorders>
            <w:vAlign w:val="center"/>
          </w:tcPr>
          <w:p w14:paraId="4D6888C1">
            <w:pPr>
              <w:pStyle w:val="37"/>
              <w:spacing w:line="240" w:lineRule="auto"/>
              <w:ind w:left="0"/>
              <w:jc w:val="center"/>
              <w:rPr>
                <w:kern w:val="0"/>
              </w:rPr>
            </w:pPr>
            <w:r>
              <w:rPr>
                <w:kern w:val="0"/>
              </w:rPr>
              <w:t>类型</w:t>
            </w:r>
          </w:p>
        </w:tc>
        <w:tc>
          <w:tcPr>
            <w:tcW w:w="850" w:type="dxa"/>
            <w:tcBorders>
              <w:top w:val="single" w:color="auto" w:sz="4" w:space="0"/>
              <w:left w:val="single" w:color="auto" w:sz="4" w:space="0"/>
              <w:bottom w:val="single" w:color="auto" w:sz="4" w:space="0"/>
              <w:right w:val="single" w:color="auto" w:sz="4" w:space="0"/>
            </w:tcBorders>
            <w:vAlign w:val="center"/>
          </w:tcPr>
          <w:p w14:paraId="674B532B">
            <w:pPr>
              <w:pStyle w:val="37"/>
              <w:spacing w:line="240" w:lineRule="auto"/>
              <w:ind w:left="0"/>
              <w:jc w:val="center"/>
              <w:rPr>
                <w:kern w:val="0"/>
              </w:rPr>
            </w:pPr>
            <w:r>
              <w:rPr>
                <w:kern w:val="0"/>
              </w:rPr>
              <w:t>风选</w:t>
            </w:r>
          </w:p>
          <w:p w14:paraId="3E532855">
            <w:pPr>
              <w:pStyle w:val="37"/>
              <w:spacing w:line="240" w:lineRule="auto"/>
              <w:ind w:left="0"/>
              <w:jc w:val="center"/>
              <w:rPr>
                <w:kern w:val="0"/>
              </w:rPr>
            </w:pPr>
            <w:r>
              <w:rPr>
                <w:kern w:val="0"/>
              </w:rPr>
              <w:t>粉煤灰</w:t>
            </w:r>
          </w:p>
        </w:tc>
        <w:tc>
          <w:tcPr>
            <w:tcW w:w="709" w:type="dxa"/>
            <w:tcBorders>
              <w:top w:val="single" w:color="auto" w:sz="4" w:space="0"/>
              <w:left w:val="single" w:color="auto" w:sz="4" w:space="0"/>
              <w:bottom w:val="single" w:color="auto" w:sz="4" w:space="0"/>
              <w:right w:val="single" w:color="auto" w:sz="4" w:space="0"/>
            </w:tcBorders>
            <w:vAlign w:val="center"/>
          </w:tcPr>
          <w:p w14:paraId="173F2504">
            <w:pPr>
              <w:pStyle w:val="37"/>
              <w:spacing w:line="240" w:lineRule="auto"/>
              <w:ind w:left="0"/>
              <w:jc w:val="center"/>
              <w:rPr>
                <w:kern w:val="0"/>
              </w:rPr>
            </w:pPr>
            <w:r>
              <w:rPr>
                <w:kern w:val="0"/>
              </w:rPr>
              <w:t>原灰</w:t>
            </w:r>
          </w:p>
        </w:tc>
        <w:tc>
          <w:tcPr>
            <w:tcW w:w="2268" w:type="dxa"/>
            <w:tcBorders>
              <w:top w:val="single" w:color="auto" w:sz="4" w:space="0"/>
              <w:left w:val="single" w:color="auto" w:sz="4" w:space="0"/>
              <w:bottom w:val="single" w:color="auto" w:sz="4" w:space="0"/>
              <w:right w:val="single" w:color="auto" w:sz="4" w:space="0"/>
            </w:tcBorders>
            <w:vAlign w:val="center"/>
          </w:tcPr>
          <w:p w14:paraId="6C7BBFA6">
            <w:pPr>
              <w:pStyle w:val="37"/>
              <w:spacing w:line="240" w:lineRule="auto"/>
              <w:ind w:left="0"/>
              <w:jc w:val="center"/>
              <w:rPr>
                <w:kern w:val="0"/>
              </w:rPr>
            </w:pPr>
            <w:r>
              <w:rPr>
                <w:kern w:val="0"/>
              </w:rPr>
              <w:t>物理改性粉煤灰（原灰样品2研磨整形）</w:t>
            </w:r>
          </w:p>
        </w:tc>
        <w:tc>
          <w:tcPr>
            <w:tcW w:w="709" w:type="dxa"/>
            <w:tcBorders>
              <w:top w:val="single" w:color="auto" w:sz="4" w:space="0"/>
              <w:left w:val="single" w:color="auto" w:sz="4" w:space="0"/>
              <w:bottom w:val="single" w:color="auto" w:sz="4" w:space="0"/>
              <w:right w:val="single" w:color="auto" w:sz="4" w:space="0"/>
            </w:tcBorders>
            <w:vAlign w:val="center"/>
          </w:tcPr>
          <w:p w14:paraId="62744228">
            <w:pPr>
              <w:pStyle w:val="37"/>
              <w:spacing w:line="240" w:lineRule="auto"/>
              <w:ind w:left="0"/>
              <w:jc w:val="center"/>
              <w:rPr>
                <w:kern w:val="0"/>
              </w:rPr>
            </w:pPr>
            <w:r>
              <w:rPr>
                <w:kern w:val="0"/>
              </w:rPr>
              <w:t>原灰</w:t>
            </w:r>
          </w:p>
        </w:tc>
        <w:tc>
          <w:tcPr>
            <w:tcW w:w="2293" w:type="dxa"/>
            <w:tcBorders>
              <w:top w:val="single" w:color="auto" w:sz="4" w:space="0"/>
              <w:left w:val="single" w:color="auto" w:sz="4" w:space="0"/>
              <w:bottom w:val="single" w:color="auto" w:sz="4" w:space="0"/>
              <w:right w:val="single" w:color="auto" w:sz="4" w:space="0"/>
            </w:tcBorders>
            <w:vAlign w:val="center"/>
          </w:tcPr>
          <w:p w14:paraId="211AE64E">
            <w:pPr>
              <w:pStyle w:val="37"/>
              <w:spacing w:line="240" w:lineRule="auto"/>
              <w:ind w:left="0"/>
              <w:jc w:val="center"/>
              <w:rPr>
                <w:kern w:val="0"/>
              </w:rPr>
            </w:pPr>
            <w:r>
              <w:rPr>
                <w:kern w:val="0"/>
              </w:rPr>
              <w:t>物理改性粉煤灰</w:t>
            </w:r>
            <w:r>
              <w:rPr>
                <w:rFonts w:hint="eastAsia"/>
                <w:kern w:val="0"/>
              </w:rPr>
              <w:t>（</w:t>
            </w:r>
            <w:r>
              <w:rPr>
                <w:kern w:val="0"/>
              </w:rPr>
              <w:t>原灰样品3研磨整形</w:t>
            </w:r>
            <w:r>
              <w:rPr>
                <w:rFonts w:hint="eastAsia"/>
                <w:kern w:val="0"/>
              </w:rPr>
              <w:t>）</w:t>
            </w:r>
          </w:p>
        </w:tc>
      </w:tr>
      <w:tr w14:paraId="55F70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22" w:type="dxa"/>
            <w:gridSpan w:val="2"/>
            <w:tcBorders>
              <w:top w:val="single" w:color="auto" w:sz="4" w:space="0"/>
              <w:left w:val="single" w:color="auto" w:sz="4" w:space="0"/>
              <w:bottom w:val="single" w:color="auto" w:sz="4" w:space="0"/>
              <w:right w:val="single" w:color="auto" w:sz="4" w:space="0"/>
            </w:tcBorders>
            <w:vAlign w:val="center"/>
          </w:tcPr>
          <w:p w14:paraId="063EE362">
            <w:pPr>
              <w:pStyle w:val="37"/>
              <w:spacing w:line="240" w:lineRule="auto"/>
              <w:ind w:left="0"/>
              <w:jc w:val="center"/>
              <w:rPr>
                <w:kern w:val="0"/>
              </w:rPr>
            </w:pPr>
            <w:r>
              <w:rPr>
                <w:kern w:val="0"/>
              </w:rPr>
              <w:t>等级</w:t>
            </w:r>
          </w:p>
        </w:tc>
        <w:tc>
          <w:tcPr>
            <w:tcW w:w="850" w:type="dxa"/>
            <w:tcBorders>
              <w:top w:val="single" w:color="auto" w:sz="4" w:space="0"/>
              <w:left w:val="single" w:color="auto" w:sz="4" w:space="0"/>
              <w:bottom w:val="single" w:color="auto" w:sz="4" w:space="0"/>
              <w:right w:val="single" w:color="auto" w:sz="4" w:space="0"/>
            </w:tcBorders>
            <w:vAlign w:val="center"/>
          </w:tcPr>
          <w:p w14:paraId="35A5E564">
            <w:pPr>
              <w:pStyle w:val="37"/>
              <w:spacing w:line="240" w:lineRule="auto"/>
              <w:ind w:left="0"/>
              <w:jc w:val="center"/>
              <w:rPr>
                <w:kern w:val="0"/>
              </w:rPr>
            </w:pPr>
            <w:r>
              <w:rPr>
                <w:kern w:val="0"/>
              </w:rPr>
              <w:t>I级</w:t>
            </w:r>
          </w:p>
        </w:tc>
        <w:tc>
          <w:tcPr>
            <w:tcW w:w="709" w:type="dxa"/>
            <w:tcBorders>
              <w:top w:val="single" w:color="auto" w:sz="4" w:space="0"/>
              <w:left w:val="single" w:color="auto" w:sz="4" w:space="0"/>
              <w:bottom w:val="single" w:color="auto" w:sz="4" w:space="0"/>
              <w:right w:val="single" w:color="auto" w:sz="4" w:space="0"/>
            </w:tcBorders>
            <w:vAlign w:val="center"/>
          </w:tcPr>
          <w:p w14:paraId="385E0F69">
            <w:pPr>
              <w:pStyle w:val="37"/>
              <w:spacing w:line="240" w:lineRule="auto"/>
              <w:ind w:left="0"/>
              <w:jc w:val="center"/>
              <w:rPr>
                <w:kern w:val="0"/>
              </w:rPr>
            </w:pPr>
            <w:r>
              <w:rPr>
                <w:kern w:val="0"/>
              </w:rPr>
              <w:t>Ⅱ级</w:t>
            </w:r>
          </w:p>
        </w:tc>
        <w:tc>
          <w:tcPr>
            <w:tcW w:w="2268" w:type="dxa"/>
            <w:tcBorders>
              <w:top w:val="single" w:color="auto" w:sz="4" w:space="0"/>
              <w:left w:val="single" w:color="auto" w:sz="4" w:space="0"/>
              <w:bottom w:val="single" w:color="auto" w:sz="4" w:space="0"/>
              <w:right w:val="single" w:color="auto" w:sz="4" w:space="0"/>
            </w:tcBorders>
            <w:vAlign w:val="center"/>
          </w:tcPr>
          <w:p w14:paraId="0B820012">
            <w:pPr>
              <w:pStyle w:val="37"/>
              <w:spacing w:line="240" w:lineRule="auto"/>
              <w:ind w:left="0"/>
              <w:jc w:val="center"/>
              <w:rPr>
                <w:kern w:val="0"/>
              </w:rPr>
            </w:pPr>
            <w:r>
              <w:rPr>
                <w:kern w:val="0"/>
              </w:rPr>
              <w:t>Ⅰ级灰</w:t>
            </w:r>
          </w:p>
        </w:tc>
        <w:tc>
          <w:tcPr>
            <w:tcW w:w="709" w:type="dxa"/>
            <w:tcBorders>
              <w:top w:val="single" w:color="auto" w:sz="4" w:space="0"/>
              <w:left w:val="single" w:color="auto" w:sz="4" w:space="0"/>
              <w:bottom w:val="single" w:color="auto" w:sz="4" w:space="0"/>
              <w:right w:val="single" w:color="auto" w:sz="4" w:space="0"/>
            </w:tcBorders>
            <w:vAlign w:val="center"/>
          </w:tcPr>
          <w:p w14:paraId="15496C9D">
            <w:pPr>
              <w:pStyle w:val="37"/>
              <w:spacing w:line="240" w:lineRule="auto"/>
              <w:ind w:left="0"/>
              <w:jc w:val="center"/>
              <w:rPr>
                <w:kern w:val="0"/>
              </w:rPr>
            </w:pPr>
            <w:r>
              <w:rPr>
                <w:kern w:val="0"/>
              </w:rPr>
              <w:t>粗灰</w:t>
            </w:r>
          </w:p>
        </w:tc>
        <w:tc>
          <w:tcPr>
            <w:tcW w:w="2293" w:type="dxa"/>
            <w:tcBorders>
              <w:top w:val="single" w:color="auto" w:sz="4" w:space="0"/>
              <w:left w:val="single" w:color="auto" w:sz="4" w:space="0"/>
              <w:bottom w:val="single" w:color="auto" w:sz="4" w:space="0"/>
              <w:right w:val="single" w:color="auto" w:sz="4" w:space="0"/>
            </w:tcBorders>
            <w:vAlign w:val="center"/>
          </w:tcPr>
          <w:p w14:paraId="3CD86DBF">
            <w:pPr>
              <w:pStyle w:val="37"/>
              <w:spacing w:line="240" w:lineRule="auto"/>
              <w:ind w:left="0"/>
              <w:jc w:val="center"/>
              <w:rPr>
                <w:kern w:val="0"/>
              </w:rPr>
            </w:pPr>
            <w:r>
              <w:rPr>
                <w:kern w:val="0"/>
              </w:rPr>
              <w:t>Ⅱ级灰</w:t>
            </w:r>
          </w:p>
        </w:tc>
      </w:tr>
      <w:tr w14:paraId="4E2EF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22" w:type="dxa"/>
            <w:gridSpan w:val="2"/>
            <w:tcBorders>
              <w:top w:val="single" w:color="auto" w:sz="4" w:space="0"/>
              <w:left w:val="single" w:color="auto" w:sz="4" w:space="0"/>
              <w:bottom w:val="single" w:color="auto" w:sz="4" w:space="0"/>
              <w:right w:val="single" w:color="auto" w:sz="4" w:space="0"/>
            </w:tcBorders>
            <w:vAlign w:val="center"/>
          </w:tcPr>
          <w:p w14:paraId="7FD6EB85">
            <w:pPr>
              <w:pStyle w:val="37"/>
              <w:spacing w:line="240" w:lineRule="auto"/>
              <w:ind w:left="0"/>
              <w:jc w:val="center"/>
              <w:rPr>
                <w:kern w:val="0"/>
              </w:rPr>
            </w:pPr>
            <w:r>
              <w:rPr>
                <w:kern w:val="0"/>
              </w:rPr>
              <w:t>45μm筛余（%）</w:t>
            </w:r>
          </w:p>
        </w:tc>
        <w:tc>
          <w:tcPr>
            <w:tcW w:w="850" w:type="dxa"/>
            <w:tcBorders>
              <w:top w:val="single" w:color="auto" w:sz="4" w:space="0"/>
              <w:left w:val="single" w:color="auto" w:sz="4" w:space="0"/>
              <w:bottom w:val="single" w:color="auto" w:sz="4" w:space="0"/>
              <w:right w:val="single" w:color="auto" w:sz="4" w:space="0"/>
            </w:tcBorders>
            <w:vAlign w:val="center"/>
          </w:tcPr>
          <w:p w14:paraId="73163C6F">
            <w:pPr>
              <w:pStyle w:val="37"/>
              <w:spacing w:line="240" w:lineRule="auto"/>
              <w:ind w:left="0"/>
              <w:jc w:val="center"/>
              <w:rPr>
                <w:kern w:val="0"/>
              </w:rPr>
            </w:pPr>
            <w:r>
              <w:rPr>
                <w:kern w:val="0"/>
              </w:rPr>
              <w:t>8.7</w:t>
            </w:r>
          </w:p>
        </w:tc>
        <w:tc>
          <w:tcPr>
            <w:tcW w:w="709" w:type="dxa"/>
            <w:tcBorders>
              <w:top w:val="single" w:color="auto" w:sz="4" w:space="0"/>
              <w:left w:val="single" w:color="auto" w:sz="4" w:space="0"/>
              <w:bottom w:val="single" w:color="auto" w:sz="4" w:space="0"/>
              <w:right w:val="single" w:color="auto" w:sz="4" w:space="0"/>
            </w:tcBorders>
            <w:vAlign w:val="center"/>
          </w:tcPr>
          <w:p w14:paraId="3719568D">
            <w:pPr>
              <w:pStyle w:val="37"/>
              <w:spacing w:line="240" w:lineRule="auto"/>
              <w:ind w:left="0"/>
              <w:jc w:val="center"/>
              <w:rPr>
                <w:kern w:val="0"/>
              </w:rPr>
            </w:pPr>
            <w:r>
              <w:rPr>
                <w:kern w:val="0"/>
              </w:rPr>
              <w:t>28</w:t>
            </w:r>
          </w:p>
        </w:tc>
        <w:tc>
          <w:tcPr>
            <w:tcW w:w="2268" w:type="dxa"/>
            <w:tcBorders>
              <w:top w:val="single" w:color="auto" w:sz="4" w:space="0"/>
              <w:left w:val="single" w:color="auto" w:sz="4" w:space="0"/>
              <w:bottom w:val="single" w:color="auto" w:sz="4" w:space="0"/>
              <w:right w:val="single" w:color="auto" w:sz="4" w:space="0"/>
            </w:tcBorders>
            <w:vAlign w:val="center"/>
          </w:tcPr>
          <w:p w14:paraId="621A2C2C">
            <w:pPr>
              <w:pStyle w:val="37"/>
              <w:spacing w:line="240" w:lineRule="auto"/>
              <w:ind w:left="0"/>
              <w:jc w:val="center"/>
              <w:rPr>
                <w:kern w:val="0"/>
              </w:rPr>
            </w:pPr>
            <w:r>
              <w:rPr>
                <w:kern w:val="0"/>
              </w:rPr>
              <w:t>0</w:t>
            </w:r>
          </w:p>
        </w:tc>
        <w:tc>
          <w:tcPr>
            <w:tcW w:w="709" w:type="dxa"/>
            <w:tcBorders>
              <w:top w:val="single" w:color="auto" w:sz="4" w:space="0"/>
              <w:left w:val="single" w:color="auto" w:sz="4" w:space="0"/>
              <w:bottom w:val="single" w:color="auto" w:sz="4" w:space="0"/>
              <w:right w:val="single" w:color="auto" w:sz="4" w:space="0"/>
            </w:tcBorders>
            <w:vAlign w:val="center"/>
          </w:tcPr>
          <w:p w14:paraId="211D82BB">
            <w:pPr>
              <w:pStyle w:val="37"/>
              <w:spacing w:line="240" w:lineRule="auto"/>
              <w:ind w:left="0"/>
              <w:jc w:val="center"/>
              <w:rPr>
                <w:kern w:val="0"/>
              </w:rPr>
            </w:pPr>
            <w:r>
              <w:rPr>
                <w:kern w:val="0"/>
              </w:rPr>
              <w:t>84.4</w:t>
            </w:r>
          </w:p>
        </w:tc>
        <w:tc>
          <w:tcPr>
            <w:tcW w:w="2293" w:type="dxa"/>
            <w:tcBorders>
              <w:top w:val="single" w:color="auto" w:sz="4" w:space="0"/>
              <w:left w:val="single" w:color="auto" w:sz="4" w:space="0"/>
              <w:bottom w:val="single" w:color="auto" w:sz="4" w:space="0"/>
              <w:right w:val="single" w:color="auto" w:sz="4" w:space="0"/>
            </w:tcBorders>
            <w:vAlign w:val="center"/>
          </w:tcPr>
          <w:p w14:paraId="042D053F">
            <w:pPr>
              <w:pStyle w:val="37"/>
              <w:spacing w:line="240" w:lineRule="auto"/>
              <w:ind w:left="0"/>
              <w:jc w:val="center"/>
              <w:rPr>
                <w:kern w:val="0"/>
              </w:rPr>
            </w:pPr>
            <w:r>
              <w:rPr>
                <w:kern w:val="0"/>
              </w:rPr>
              <w:t>14.2</w:t>
            </w:r>
          </w:p>
        </w:tc>
      </w:tr>
      <w:tr w14:paraId="34FF2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22" w:type="dxa"/>
            <w:gridSpan w:val="2"/>
            <w:tcBorders>
              <w:top w:val="single" w:color="auto" w:sz="4" w:space="0"/>
              <w:left w:val="single" w:color="auto" w:sz="4" w:space="0"/>
              <w:bottom w:val="single" w:color="auto" w:sz="4" w:space="0"/>
              <w:right w:val="single" w:color="auto" w:sz="4" w:space="0"/>
            </w:tcBorders>
            <w:vAlign w:val="center"/>
          </w:tcPr>
          <w:p w14:paraId="25B594E9">
            <w:pPr>
              <w:pStyle w:val="37"/>
              <w:spacing w:line="240" w:lineRule="auto"/>
              <w:ind w:left="0"/>
              <w:jc w:val="center"/>
              <w:rPr>
                <w:kern w:val="0"/>
              </w:rPr>
            </w:pPr>
            <w:r>
              <w:rPr>
                <w:kern w:val="0"/>
              </w:rPr>
              <w:t>比表面积（</w:t>
            </w:r>
            <w:r>
              <w:rPr>
                <w:rFonts w:hint="eastAsia"/>
                <w:kern w:val="0"/>
              </w:rPr>
              <w:t>m</w:t>
            </w:r>
            <w:r>
              <w:rPr>
                <w:rFonts w:hint="eastAsia"/>
                <w:kern w:val="0"/>
                <w:vertAlign w:val="superscript"/>
              </w:rPr>
              <w:t>2</w:t>
            </w:r>
            <w:r>
              <w:rPr>
                <w:kern w:val="0"/>
              </w:rPr>
              <w:t>/kg）</w:t>
            </w:r>
          </w:p>
        </w:tc>
        <w:tc>
          <w:tcPr>
            <w:tcW w:w="850" w:type="dxa"/>
            <w:tcBorders>
              <w:top w:val="single" w:color="auto" w:sz="4" w:space="0"/>
              <w:left w:val="single" w:color="auto" w:sz="4" w:space="0"/>
              <w:bottom w:val="single" w:color="auto" w:sz="4" w:space="0"/>
              <w:right w:val="single" w:color="auto" w:sz="4" w:space="0"/>
            </w:tcBorders>
            <w:vAlign w:val="center"/>
          </w:tcPr>
          <w:p w14:paraId="421E8064">
            <w:pPr>
              <w:pStyle w:val="37"/>
              <w:spacing w:line="240" w:lineRule="auto"/>
              <w:ind w:left="0"/>
              <w:jc w:val="center"/>
              <w:rPr>
                <w:kern w:val="0"/>
              </w:rPr>
            </w:pPr>
            <w:r>
              <w:rPr>
                <w:kern w:val="0"/>
              </w:rPr>
              <w:t>391</w:t>
            </w:r>
          </w:p>
        </w:tc>
        <w:tc>
          <w:tcPr>
            <w:tcW w:w="709" w:type="dxa"/>
            <w:tcBorders>
              <w:top w:val="single" w:color="auto" w:sz="4" w:space="0"/>
              <w:left w:val="single" w:color="auto" w:sz="4" w:space="0"/>
              <w:bottom w:val="single" w:color="auto" w:sz="4" w:space="0"/>
              <w:right w:val="single" w:color="auto" w:sz="4" w:space="0"/>
            </w:tcBorders>
            <w:vAlign w:val="center"/>
          </w:tcPr>
          <w:p w14:paraId="27305CB0">
            <w:pPr>
              <w:pStyle w:val="37"/>
              <w:spacing w:line="240" w:lineRule="auto"/>
              <w:ind w:left="0"/>
              <w:jc w:val="center"/>
              <w:rPr>
                <w:kern w:val="0"/>
              </w:rPr>
            </w:pPr>
            <w:r>
              <w:rPr>
                <w:kern w:val="0"/>
              </w:rPr>
              <w:t>359</w:t>
            </w:r>
          </w:p>
        </w:tc>
        <w:tc>
          <w:tcPr>
            <w:tcW w:w="2268" w:type="dxa"/>
            <w:tcBorders>
              <w:top w:val="single" w:color="auto" w:sz="4" w:space="0"/>
              <w:left w:val="single" w:color="auto" w:sz="4" w:space="0"/>
              <w:bottom w:val="single" w:color="auto" w:sz="4" w:space="0"/>
              <w:right w:val="single" w:color="auto" w:sz="4" w:space="0"/>
            </w:tcBorders>
            <w:vAlign w:val="center"/>
          </w:tcPr>
          <w:p w14:paraId="0560960C">
            <w:pPr>
              <w:pStyle w:val="37"/>
              <w:spacing w:line="240" w:lineRule="auto"/>
              <w:ind w:left="0"/>
              <w:jc w:val="center"/>
              <w:rPr>
                <w:kern w:val="0"/>
              </w:rPr>
            </w:pPr>
            <w:r>
              <w:rPr>
                <w:kern w:val="0"/>
              </w:rPr>
              <w:t>568</w:t>
            </w:r>
          </w:p>
        </w:tc>
        <w:tc>
          <w:tcPr>
            <w:tcW w:w="709" w:type="dxa"/>
            <w:tcBorders>
              <w:top w:val="single" w:color="auto" w:sz="4" w:space="0"/>
              <w:left w:val="single" w:color="auto" w:sz="4" w:space="0"/>
              <w:bottom w:val="single" w:color="auto" w:sz="4" w:space="0"/>
              <w:right w:val="single" w:color="auto" w:sz="4" w:space="0"/>
            </w:tcBorders>
            <w:vAlign w:val="center"/>
          </w:tcPr>
          <w:p w14:paraId="6568F01F">
            <w:pPr>
              <w:pStyle w:val="37"/>
              <w:spacing w:line="240" w:lineRule="auto"/>
              <w:ind w:left="0"/>
              <w:jc w:val="center"/>
              <w:rPr>
                <w:kern w:val="0"/>
              </w:rPr>
            </w:pPr>
            <w:r>
              <w:rPr>
                <w:kern w:val="0"/>
              </w:rPr>
              <w:t>78</w:t>
            </w:r>
          </w:p>
        </w:tc>
        <w:tc>
          <w:tcPr>
            <w:tcW w:w="2293" w:type="dxa"/>
            <w:tcBorders>
              <w:top w:val="single" w:color="auto" w:sz="4" w:space="0"/>
              <w:left w:val="single" w:color="auto" w:sz="4" w:space="0"/>
              <w:bottom w:val="single" w:color="auto" w:sz="4" w:space="0"/>
              <w:right w:val="single" w:color="auto" w:sz="4" w:space="0"/>
            </w:tcBorders>
            <w:vAlign w:val="center"/>
          </w:tcPr>
          <w:p w14:paraId="05D0C416">
            <w:pPr>
              <w:pStyle w:val="37"/>
              <w:spacing w:line="240" w:lineRule="auto"/>
              <w:ind w:left="0"/>
              <w:jc w:val="center"/>
              <w:rPr>
                <w:kern w:val="0"/>
              </w:rPr>
            </w:pPr>
            <w:r>
              <w:rPr>
                <w:kern w:val="0"/>
              </w:rPr>
              <w:t>368</w:t>
            </w:r>
          </w:p>
        </w:tc>
      </w:tr>
      <w:tr w14:paraId="3238F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22" w:type="dxa"/>
            <w:gridSpan w:val="2"/>
            <w:tcBorders>
              <w:top w:val="single" w:color="auto" w:sz="4" w:space="0"/>
              <w:left w:val="single" w:color="auto" w:sz="4" w:space="0"/>
              <w:bottom w:val="single" w:color="auto" w:sz="4" w:space="0"/>
              <w:right w:val="single" w:color="auto" w:sz="4" w:space="0"/>
            </w:tcBorders>
            <w:vAlign w:val="center"/>
          </w:tcPr>
          <w:p w14:paraId="3B5E0BAD">
            <w:pPr>
              <w:pStyle w:val="37"/>
              <w:spacing w:line="240" w:lineRule="auto"/>
              <w:ind w:left="0"/>
              <w:jc w:val="center"/>
              <w:rPr>
                <w:kern w:val="0"/>
              </w:rPr>
            </w:pPr>
            <w:r>
              <w:rPr>
                <w:kern w:val="0"/>
              </w:rPr>
              <w:t>D50（μm）</w:t>
            </w:r>
          </w:p>
        </w:tc>
        <w:tc>
          <w:tcPr>
            <w:tcW w:w="850" w:type="dxa"/>
            <w:tcBorders>
              <w:top w:val="single" w:color="auto" w:sz="4" w:space="0"/>
              <w:left w:val="single" w:color="auto" w:sz="4" w:space="0"/>
              <w:bottom w:val="single" w:color="auto" w:sz="4" w:space="0"/>
              <w:right w:val="single" w:color="auto" w:sz="4" w:space="0"/>
            </w:tcBorders>
            <w:vAlign w:val="center"/>
          </w:tcPr>
          <w:p w14:paraId="21F2AFE2">
            <w:pPr>
              <w:pStyle w:val="37"/>
              <w:spacing w:line="240" w:lineRule="auto"/>
              <w:ind w:left="0"/>
              <w:jc w:val="center"/>
              <w:rPr>
                <w:kern w:val="0"/>
              </w:rPr>
            </w:pPr>
            <w:r>
              <w:rPr>
                <w:kern w:val="0"/>
              </w:rPr>
              <w:t>17</w:t>
            </w:r>
          </w:p>
        </w:tc>
        <w:tc>
          <w:tcPr>
            <w:tcW w:w="709" w:type="dxa"/>
            <w:tcBorders>
              <w:top w:val="single" w:color="auto" w:sz="4" w:space="0"/>
              <w:left w:val="single" w:color="auto" w:sz="4" w:space="0"/>
              <w:bottom w:val="single" w:color="auto" w:sz="4" w:space="0"/>
              <w:right w:val="single" w:color="auto" w:sz="4" w:space="0"/>
            </w:tcBorders>
            <w:vAlign w:val="center"/>
          </w:tcPr>
          <w:p w14:paraId="7652483D">
            <w:pPr>
              <w:pStyle w:val="37"/>
              <w:spacing w:line="240" w:lineRule="auto"/>
              <w:ind w:left="0"/>
              <w:jc w:val="center"/>
              <w:rPr>
                <w:kern w:val="0"/>
              </w:rPr>
            </w:pPr>
            <w:r>
              <w:rPr>
                <w:kern w:val="0"/>
              </w:rPr>
              <w:t>32</w:t>
            </w:r>
          </w:p>
        </w:tc>
        <w:tc>
          <w:tcPr>
            <w:tcW w:w="2268" w:type="dxa"/>
            <w:tcBorders>
              <w:top w:val="single" w:color="auto" w:sz="4" w:space="0"/>
              <w:left w:val="single" w:color="auto" w:sz="4" w:space="0"/>
              <w:bottom w:val="single" w:color="auto" w:sz="4" w:space="0"/>
              <w:right w:val="single" w:color="auto" w:sz="4" w:space="0"/>
            </w:tcBorders>
            <w:vAlign w:val="center"/>
          </w:tcPr>
          <w:p w14:paraId="4DAA55E1">
            <w:pPr>
              <w:pStyle w:val="37"/>
              <w:spacing w:line="240" w:lineRule="auto"/>
              <w:ind w:left="0"/>
              <w:jc w:val="center"/>
              <w:rPr>
                <w:kern w:val="0"/>
              </w:rPr>
            </w:pPr>
            <w:r>
              <w:rPr>
                <w:kern w:val="0"/>
              </w:rPr>
              <w:t>9.5</w:t>
            </w:r>
          </w:p>
        </w:tc>
        <w:tc>
          <w:tcPr>
            <w:tcW w:w="709" w:type="dxa"/>
            <w:tcBorders>
              <w:top w:val="single" w:color="auto" w:sz="4" w:space="0"/>
              <w:left w:val="single" w:color="auto" w:sz="4" w:space="0"/>
              <w:bottom w:val="single" w:color="auto" w:sz="4" w:space="0"/>
              <w:right w:val="single" w:color="auto" w:sz="4" w:space="0"/>
            </w:tcBorders>
            <w:vAlign w:val="center"/>
          </w:tcPr>
          <w:p w14:paraId="1AAD6D2F">
            <w:pPr>
              <w:pStyle w:val="37"/>
              <w:spacing w:line="240" w:lineRule="auto"/>
              <w:ind w:left="0"/>
              <w:jc w:val="center"/>
              <w:rPr>
                <w:kern w:val="0"/>
              </w:rPr>
            </w:pPr>
            <w:r>
              <w:rPr>
                <w:kern w:val="0"/>
              </w:rPr>
              <w:t>102.8</w:t>
            </w:r>
          </w:p>
        </w:tc>
        <w:tc>
          <w:tcPr>
            <w:tcW w:w="2293" w:type="dxa"/>
            <w:tcBorders>
              <w:top w:val="single" w:color="auto" w:sz="4" w:space="0"/>
              <w:left w:val="single" w:color="auto" w:sz="4" w:space="0"/>
              <w:bottom w:val="single" w:color="auto" w:sz="4" w:space="0"/>
              <w:right w:val="single" w:color="auto" w:sz="4" w:space="0"/>
            </w:tcBorders>
            <w:vAlign w:val="center"/>
          </w:tcPr>
          <w:p w14:paraId="0A4272C1">
            <w:pPr>
              <w:pStyle w:val="37"/>
              <w:spacing w:line="240" w:lineRule="auto"/>
              <w:ind w:left="0"/>
              <w:jc w:val="center"/>
              <w:rPr>
                <w:kern w:val="0"/>
              </w:rPr>
            </w:pPr>
            <w:r>
              <w:rPr>
                <w:kern w:val="0"/>
              </w:rPr>
              <w:t>21.6</w:t>
            </w:r>
          </w:p>
        </w:tc>
      </w:tr>
      <w:tr w14:paraId="6A61A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22" w:type="dxa"/>
            <w:gridSpan w:val="2"/>
            <w:tcBorders>
              <w:top w:val="single" w:color="auto" w:sz="4" w:space="0"/>
              <w:left w:val="single" w:color="auto" w:sz="4" w:space="0"/>
              <w:bottom w:val="single" w:color="auto" w:sz="4" w:space="0"/>
              <w:right w:val="single" w:color="auto" w:sz="4" w:space="0"/>
            </w:tcBorders>
            <w:vAlign w:val="center"/>
          </w:tcPr>
          <w:p w14:paraId="4F9989E4">
            <w:pPr>
              <w:pStyle w:val="37"/>
              <w:spacing w:line="240" w:lineRule="auto"/>
              <w:ind w:left="0"/>
              <w:jc w:val="center"/>
              <w:rPr>
                <w:kern w:val="0"/>
              </w:rPr>
            </w:pPr>
            <w:r>
              <w:rPr>
                <w:kern w:val="0"/>
              </w:rPr>
              <w:t>需水量比（%）</w:t>
            </w:r>
          </w:p>
        </w:tc>
        <w:tc>
          <w:tcPr>
            <w:tcW w:w="850" w:type="dxa"/>
            <w:tcBorders>
              <w:top w:val="single" w:color="auto" w:sz="4" w:space="0"/>
              <w:left w:val="single" w:color="auto" w:sz="4" w:space="0"/>
              <w:bottom w:val="single" w:color="auto" w:sz="4" w:space="0"/>
              <w:right w:val="single" w:color="auto" w:sz="4" w:space="0"/>
            </w:tcBorders>
            <w:vAlign w:val="center"/>
          </w:tcPr>
          <w:p w14:paraId="504BD2F5">
            <w:pPr>
              <w:pStyle w:val="37"/>
              <w:spacing w:line="240" w:lineRule="auto"/>
              <w:ind w:left="0"/>
              <w:jc w:val="center"/>
              <w:rPr>
                <w:kern w:val="0"/>
              </w:rPr>
            </w:pPr>
            <w:r>
              <w:rPr>
                <w:kern w:val="0"/>
              </w:rPr>
              <w:t>95</w:t>
            </w:r>
          </w:p>
        </w:tc>
        <w:tc>
          <w:tcPr>
            <w:tcW w:w="709" w:type="dxa"/>
            <w:tcBorders>
              <w:top w:val="single" w:color="auto" w:sz="4" w:space="0"/>
              <w:left w:val="single" w:color="auto" w:sz="4" w:space="0"/>
              <w:bottom w:val="single" w:color="auto" w:sz="4" w:space="0"/>
              <w:right w:val="single" w:color="auto" w:sz="4" w:space="0"/>
            </w:tcBorders>
            <w:vAlign w:val="center"/>
          </w:tcPr>
          <w:p w14:paraId="07E8E6C3">
            <w:pPr>
              <w:pStyle w:val="37"/>
              <w:spacing w:line="240" w:lineRule="auto"/>
              <w:ind w:left="0"/>
              <w:jc w:val="center"/>
              <w:rPr>
                <w:kern w:val="0"/>
              </w:rPr>
            </w:pPr>
            <w:r>
              <w:rPr>
                <w:kern w:val="0"/>
              </w:rPr>
              <w:t>96</w:t>
            </w:r>
          </w:p>
        </w:tc>
        <w:tc>
          <w:tcPr>
            <w:tcW w:w="2268" w:type="dxa"/>
            <w:tcBorders>
              <w:top w:val="single" w:color="auto" w:sz="4" w:space="0"/>
              <w:left w:val="single" w:color="auto" w:sz="4" w:space="0"/>
              <w:bottom w:val="single" w:color="auto" w:sz="4" w:space="0"/>
              <w:right w:val="single" w:color="auto" w:sz="4" w:space="0"/>
            </w:tcBorders>
            <w:vAlign w:val="center"/>
          </w:tcPr>
          <w:p w14:paraId="0CE96D95">
            <w:pPr>
              <w:pStyle w:val="37"/>
              <w:spacing w:line="240" w:lineRule="auto"/>
              <w:ind w:left="0"/>
              <w:jc w:val="center"/>
              <w:rPr>
                <w:kern w:val="0"/>
              </w:rPr>
            </w:pPr>
            <w:r>
              <w:rPr>
                <w:kern w:val="0"/>
              </w:rPr>
              <w:t>95</w:t>
            </w:r>
          </w:p>
        </w:tc>
        <w:tc>
          <w:tcPr>
            <w:tcW w:w="709" w:type="dxa"/>
            <w:tcBorders>
              <w:top w:val="single" w:color="auto" w:sz="4" w:space="0"/>
              <w:left w:val="single" w:color="auto" w:sz="4" w:space="0"/>
              <w:bottom w:val="single" w:color="auto" w:sz="4" w:space="0"/>
              <w:right w:val="single" w:color="auto" w:sz="4" w:space="0"/>
            </w:tcBorders>
            <w:vAlign w:val="center"/>
          </w:tcPr>
          <w:p w14:paraId="721D9D15">
            <w:pPr>
              <w:pStyle w:val="37"/>
              <w:spacing w:line="240" w:lineRule="auto"/>
              <w:ind w:left="0"/>
              <w:jc w:val="center"/>
              <w:rPr>
                <w:kern w:val="0"/>
              </w:rPr>
            </w:pPr>
            <w:r>
              <w:rPr>
                <w:kern w:val="0"/>
              </w:rPr>
              <w:t>96</w:t>
            </w:r>
          </w:p>
        </w:tc>
        <w:tc>
          <w:tcPr>
            <w:tcW w:w="2293" w:type="dxa"/>
            <w:tcBorders>
              <w:top w:val="single" w:color="auto" w:sz="4" w:space="0"/>
              <w:left w:val="single" w:color="auto" w:sz="4" w:space="0"/>
              <w:bottom w:val="single" w:color="auto" w:sz="4" w:space="0"/>
              <w:right w:val="single" w:color="auto" w:sz="4" w:space="0"/>
            </w:tcBorders>
            <w:vAlign w:val="center"/>
          </w:tcPr>
          <w:p w14:paraId="7520120E">
            <w:pPr>
              <w:pStyle w:val="37"/>
              <w:spacing w:line="240" w:lineRule="auto"/>
              <w:ind w:left="0"/>
              <w:jc w:val="center"/>
              <w:rPr>
                <w:kern w:val="0"/>
              </w:rPr>
            </w:pPr>
            <w:r>
              <w:rPr>
                <w:kern w:val="0"/>
              </w:rPr>
              <w:t>94</w:t>
            </w:r>
          </w:p>
        </w:tc>
      </w:tr>
      <w:tr w14:paraId="0CA4A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22" w:type="dxa"/>
            <w:gridSpan w:val="2"/>
            <w:tcBorders>
              <w:top w:val="single" w:color="auto" w:sz="4" w:space="0"/>
              <w:left w:val="single" w:color="auto" w:sz="4" w:space="0"/>
              <w:bottom w:val="single" w:color="auto" w:sz="4" w:space="0"/>
              <w:right w:val="single" w:color="auto" w:sz="4" w:space="0"/>
            </w:tcBorders>
            <w:vAlign w:val="center"/>
          </w:tcPr>
          <w:p w14:paraId="3EFB9D0B">
            <w:pPr>
              <w:pStyle w:val="37"/>
              <w:spacing w:line="240" w:lineRule="auto"/>
              <w:ind w:left="0"/>
              <w:jc w:val="center"/>
              <w:rPr>
                <w:kern w:val="0"/>
              </w:rPr>
            </w:pPr>
            <w:r>
              <w:rPr>
                <w:kern w:val="0"/>
              </w:rPr>
              <w:t>胶砂流动度（mm）</w:t>
            </w:r>
          </w:p>
        </w:tc>
        <w:tc>
          <w:tcPr>
            <w:tcW w:w="850" w:type="dxa"/>
            <w:tcBorders>
              <w:top w:val="single" w:color="auto" w:sz="4" w:space="0"/>
              <w:left w:val="single" w:color="auto" w:sz="4" w:space="0"/>
              <w:bottom w:val="single" w:color="auto" w:sz="4" w:space="0"/>
              <w:right w:val="single" w:color="auto" w:sz="4" w:space="0"/>
            </w:tcBorders>
            <w:vAlign w:val="center"/>
          </w:tcPr>
          <w:p w14:paraId="55C489A9">
            <w:pPr>
              <w:pStyle w:val="37"/>
              <w:spacing w:line="240" w:lineRule="auto"/>
              <w:ind w:left="0"/>
              <w:jc w:val="center"/>
              <w:rPr>
                <w:kern w:val="0"/>
              </w:rPr>
            </w:pPr>
            <w:r>
              <w:rPr>
                <w:kern w:val="0"/>
              </w:rPr>
              <w:t>253</w:t>
            </w:r>
          </w:p>
        </w:tc>
        <w:tc>
          <w:tcPr>
            <w:tcW w:w="709" w:type="dxa"/>
            <w:tcBorders>
              <w:top w:val="single" w:color="auto" w:sz="4" w:space="0"/>
              <w:left w:val="single" w:color="auto" w:sz="4" w:space="0"/>
              <w:bottom w:val="single" w:color="auto" w:sz="4" w:space="0"/>
              <w:right w:val="single" w:color="auto" w:sz="4" w:space="0"/>
            </w:tcBorders>
            <w:vAlign w:val="center"/>
          </w:tcPr>
          <w:p w14:paraId="6FE1E9FD">
            <w:pPr>
              <w:pStyle w:val="37"/>
              <w:spacing w:line="240" w:lineRule="auto"/>
              <w:ind w:left="0"/>
              <w:jc w:val="center"/>
              <w:rPr>
                <w:kern w:val="0"/>
              </w:rPr>
            </w:pPr>
            <w:r>
              <w:rPr>
                <w:kern w:val="0"/>
              </w:rPr>
              <w:t>240</w:t>
            </w:r>
          </w:p>
        </w:tc>
        <w:tc>
          <w:tcPr>
            <w:tcW w:w="2268" w:type="dxa"/>
            <w:tcBorders>
              <w:top w:val="single" w:color="auto" w:sz="4" w:space="0"/>
              <w:left w:val="single" w:color="auto" w:sz="4" w:space="0"/>
              <w:bottom w:val="single" w:color="auto" w:sz="4" w:space="0"/>
              <w:right w:val="single" w:color="auto" w:sz="4" w:space="0"/>
            </w:tcBorders>
            <w:vAlign w:val="center"/>
          </w:tcPr>
          <w:p w14:paraId="48DA87B2">
            <w:pPr>
              <w:pStyle w:val="37"/>
              <w:spacing w:line="240" w:lineRule="auto"/>
              <w:ind w:left="0"/>
              <w:jc w:val="center"/>
              <w:rPr>
                <w:kern w:val="0"/>
              </w:rPr>
            </w:pPr>
            <w:r>
              <w:rPr>
                <w:kern w:val="0"/>
              </w:rPr>
              <w:t>255</w:t>
            </w:r>
          </w:p>
        </w:tc>
        <w:tc>
          <w:tcPr>
            <w:tcW w:w="709" w:type="dxa"/>
            <w:tcBorders>
              <w:top w:val="single" w:color="auto" w:sz="4" w:space="0"/>
              <w:left w:val="single" w:color="auto" w:sz="4" w:space="0"/>
              <w:bottom w:val="single" w:color="auto" w:sz="4" w:space="0"/>
              <w:right w:val="single" w:color="auto" w:sz="4" w:space="0"/>
            </w:tcBorders>
            <w:vAlign w:val="center"/>
          </w:tcPr>
          <w:p w14:paraId="02948A04">
            <w:pPr>
              <w:pStyle w:val="37"/>
              <w:spacing w:line="240" w:lineRule="auto"/>
              <w:ind w:left="0"/>
              <w:jc w:val="center"/>
              <w:rPr>
                <w:kern w:val="0"/>
              </w:rPr>
            </w:pPr>
            <w:r>
              <w:rPr>
                <w:kern w:val="0"/>
              </w:rPr>
              <w:t>203</w:t>
            </w:r>
          </w:p>
        </w:tc>
        <w:tc>
          <w:tcPr>
            <w:tcW w:w="2293" w:type="dxa"/>
            <w:tcBorders>
              <w:top w:val="single" w:color="auto" w:sz="4" w:space="0"/>
              <w:left w:val="single" w:color="auto" w:sz="4" w:space="0"/>
              <w:bottom w:val="single" w:color="auto" w:sz="4" w:space="0"/>
              <w:right w:val="single" w:color="auto" w:sz="4" w:space="0"/>
            </w:tcBorders>
            <w:vAlign w:val="center"/>
          </w:tcPr>
          <w:p w14:paraId="177F6078">
            <w:pPr>
              <w:pStyle w:val="37"/>
              <w:spacing w:line="240" w:lineRule="auto"/>
              <w:ind w:left="0"/>
              <w:jc w:val="center"/>
              <w:rPr>
                <w:kern w:val="0"/>
              </w:rPr>
            </w:pPr>
            <w:r>
              <w:rPr>
                <w:kern w:val="0"/>
              </w:rPr>
              <w:t>237</w:t>
            </w:r>
          </w:p>
        </w:tc>
      </w:tr>
      <w:tr w14:paraId="4AF32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1129" w:type="dxa"/>
            <w:vMerge w:val="restart"/>
            <w:tcBorders>
              <w:top w:val="nil"/>
              <w:left w:val="single" w:color="auto" w:sz="4" w:space="0"/>
              <w:bottom w:val="single" w:color="auto" w:sz="4" w:space="0"/>
              <w:right w:val="single" w:color="auto" w:sz="4" w:space="0"/>
            </w:tcBorders>
            <w:vAlign w:val="center"/>
          </w:tcPr>
          <w:p w14:paraId="24449DD9">
            <w:pPr>
              <w:pStyle w:val="37"/>
              <w:spacing w:line="240" w:lineRule="auto"/>
              <w:ind w:left="0"/>
              <w:jc w:val="center"/>
              <w:rPr>
                <w:kern w:val="0"/>
              </w:rPr>
            </w:pPr>
            <w:r>
              <w:rPr>
                <w:kern w:val="0"/>
              </w:rPr>
              <w:t>强度活性指数</w:t>
            </w:r>
          </w:p>
        </w:tc>
        <w:tc>
          <w:tcPr>
            <w:tcW w:w="993" w:type="dxa"/>
            <w:tcBorders>
              <w:top w:val="single" w:color="auto" w:sz="4" w:space="0"/>
              <w:left w:val="single" w:color="auto" w:sz="4" w:space="0"/>
              <w:bottom w:val="single" w:color="auto" w:sz="4" w:space="0"/>
              <w:right w:val="single" w:color="auto" w:sz="4" w:space="0"/>
            </w:tcBorders>
            <w:vAlign w:val="center"/>
          </w:tcPr>
          <w:p w14:paraId="77685769">
            <w:pPr>
              <w:pStyle w:val="37"/>
              <w:spacing w:line="240" w:lineRule="auto"/>
              <w:ind w:left="0"/>
              <w:jc w:val="center"/>
              <w:rPr>
                <w:kern w:val="0"/>
              </w:rPr>
            </w:pPr>
            <w:r>
              <w:rPr>
                <w:kern w:val="0"/>
              </w:rPr>
              <w:t>3d</w:t>
            </w:r>
          </w:p>
        </w:tc>
        <w:tc>
          <w:tcPr>
            <w:tcW w:w="850" w:type="dxa"/>
            <w:tcBorders>
              <w:top w:val="single" w:color="auto" w:sz="4" w:space="0"/>
              <w:left w:val="single" w:color="auto" w:sz="4" w:space="0"/>
              <w:bottom w:val="single" w:color="auto" w:sz="4" w:space="0"/>
              <w:right w:val="single" w:color="auto" w:sz="4" w:space="0"/>
            </w:tcBorders>
            <w:vAlign w:val="center"/>
          </w:tcPr>
          <w:p w14:paraId="78EE3F37">
            <w:pPr>
              <w:pStyle w:val="37"/>
              <w:spacing w:line="240" w:lineRule="auto"/>
              <w:ind w:left="0"/>
              <w:jc w:val="center"/>
              <w:rPr>
                <w:kern w:val="0"/>
              </w:rPr>
            </w:pPr>
            <w:r>
              <w:rPr>
                <w:kern w:val="0"/>
              </w:rPr>
              <w:t>63</w:t>
            </w:r>
          </w:p>
        </w:tc>
        <w:tc>
          <w:tcPr>
            <w:tcW w:w="709" w:type="dxa"/>
            <w:tcBorders>
              <w:top w:val="single" w:color="auto" w:sz="4" w:space="0"/>
              <w:left w:val="single" w:color="auto" w:sz="4" w:space="0"/>
              <w:bottom w:val="single" w:color="auto" w:sz="4" w:space="0"/>
              <w:right w:val="single" w:color="auto" w:sz="4" w:space="0"/>
            </w:tcBorders>
            <w:vAlign w:val="center"/>
          </w:tcPr>
          <w:p w14:paraId="66FC2CB8">
            <w:pPr>
              <w:pStyle w:val="37"/>
              <w:spacing w:line="240" w:lineRule="auto"/>
              <w:ind w:left="0"/>
              <w:jc w:val="center"/>
              <w:rPr>
                <w:kern w:val="0"/>
              </w:rPr>
            </w:pPr>
            <w:r>
              <w:rPr>
                <w:kern w:val="0"/>
              </w:rPr>
              <w:t>62</w:t>
            </w:r>
          </w:p>
        </w:tc>
        <w:tc>
          <w:tcPr>
            <w:tcW w:w="2268" w:type="dxa"/>
            <w:tcBorders>
              <w:top w:val="single" w:color="auto" w:sz="4" w:space="0"/>
              <w:left w:val="single" w:color="auto" w:sz="4" w:space="0"/>
              <w:bottom w:val="single" w:color="auto" w:sz="4" w:space="0"/>
              <w:right w:val="single" w:color="auto" w:sz="4" w:space="0"/>
            </w:tcBorders>
            <w:vAlign w:val="center"/>
          </w:tcPr>
          <w:p w14:paraId="734C85E7">
            <w:pPr>
              <w:pStyle w:val="37"/>
              <w:spacing w:line="240" w:lineRule="auto"/>
              <w:ind w:left="0"/>
              <w:jc w:val="center"/>
              <w:rPr>
                <w:kern w:val="0"/>
              </w:rPr>
            </w:pPr>
            <w:r>
              <w:rPr>
                <w:kern w:val="0"/>
              </w:rPr>
              <w:t>68</w:t>
            </w:r>
          </w:p>
        </w:tc>
        <w:tc>
          <w:tcPr>
            <w:tcW w:w="709" w:type="dxa"/>
            <w:tcBorders>
              <w:top w:val="single" w:color="auto" w:sz="4" w:space="0"/>
              <w:left w:val="single" w:color="auto" w:sz="4" w:space="0"/>
              <w:bottom w:val="single" w:color="auto" w:sz="4" w:space="0"/>
              <w:right w:val="single" w:color="auto" w:sz="4" w:space="0"/>
            </w:tcBorders>
            <w:vAlign w:val="center"/>
          </w:tcPr>
          <w:p w14:paraId="59B9E0CF">
            <w:pPr>
              <w:pStyle w:val="37"/>
              <w:spacing w:line="240" w:lineRule="auto"/>
              <w:ind w:left="0"/>
              <w:jc w:val="center"/>
              <w:rPr>
                <w:kern w:val="0"/>
              </w:rPr>
            </w:pPr>
            <w:r>
              <w:rPr>
                <w:kern w:val="0"/>
              </w:rPr>
              <w:t>53</w:t>
            </w:r>
          </w:p>
        </w:tc>
        <w:tc>
          <w:tcPr>
            <w:tcW w:w="2293" w:type="dxa"/>
            <w:tcBorders>
              <w:top w:val="single" w:color="auto" w:sz="4" w:space="0"/>
              <w:left w:val="single" w:color="auto" w:sz="4" w:space="0"/>
              <w:bottom w:val="single" w:color="auto" w:sz="4" w:space="0"/>
              <w:right w:val="single" w:color="auto" w:sz="4" w:space="0"/>
            </w:tcBorders>
            <w:vAlign w:val="center"/>
          </w:tcPr>
          <w:p w14:paraId="4AF242A2">
            <w:pPr>
              <w:pStyle w:val="37"/>
              <w:spacing w:line="240" w:lineRule="auto"/>
              <w:ind w:left="0"/>
              <w:jc w:val="center"/>
              <w:rPr>
                <w:kern w:val="0"/>
              </w:rPr>
            </w:pPr>
            <w:r>
              <w:rPr>
                <w:kern w:val="0"/>
              </w:rPr>
              <w:t>65</w:t>
            </w:r>
          </w:p>
        </w:tc>
      </w:tr>
      <w:tr w14:paraId="0BF96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1129" w:type="dxa"/>
            <w:vMerge w:val="continue"/>
            <w:tcBorders>
              <w:top w:val="nil"/>
              <w:left w:val="single" w:color="auto" w:sz="4" w:space="0"/>
              <w:bottom w:val="single" w:color="auto" w:sz="4" w:space="0"/>
              <w:right w:val="single" w:color="auto" w:sz="4" w:space="0"/>
            </w:tcBorders>
            <w:vAlign w:val="center"/>
          </w:tcPr>
          <w:p w14:paraId="6E3C487A">
            <w:pPr>
              <w:pStyle w:val="37"/>
              <w:spacing w:line="240" w:lineRule="auto"/>
              <w:ind w:left="0"/>
              <w:jc w:val="center"/>
              <w:rPr>
                <w:kern w:val="0"/>
              </w:rPr>
            </w:pPr>
          </w:p>
        </w:tc>
        <w:tc>
          <w:tcPr>
            <w:tcW w:w="993" w:type="dxa"/>
            <w:tcBorders>
              <w:top w:val="single" w:color="auto" w:sz="4" w:space="0"/>
              <w:left w:val="single" w:color="auto" w:sz="4" w:space="0"/>
              <w:bottom w:val="single" w:color="auto" w:sz="4" w:space="0"/>
              <w:right w:val="single" w:color="auto" w:sz="4" w:space="0"/>
            </w:tcBorders>
            <w:vAlign w:val="center"/>
          </w:tcPr>
          <w:p w14:paraId="19B55088">
            <w:pPr>
              <w:pStyle w:val="37"/>
              <w:spacing w:line="240" w:lineRule="auto"/>
              <w:ind w:left="0"/>
              <w:jc w:val="center"/>
              <w:rPr>
                <w:kern w:val="0"/>
              </w:rPr>
            </w:pPr>
            <w:r>
              <w:rPr>
                <w:kern w:val="0"/>
              </w:rPr>
              <w:t>28d</w:t>
            </w:r>
          </w:p>
        </w:tc>
        <w:tc>
          <w:tcPr>
            <w:tcW w:w="850" w:type="dxa"/>
            <w:tcBorders>
              <w:top w:val="single" w:color="auto" w:sz="4" w:space="0"/>
              <w:left w:val="single" w:color="auto" w:sz="4" w:space="0"/>
              <w:bottom w:val="single" w:color="auto" w:sz="4" w:space="0"/>
              <w:right w:val="single" w:color="auto" w:sz="4" w:space="0"/>
            </w:tcBorders>
            <w:vAlign w:val="center"/>
          </w:tcPr>
          <w:p w14:paraId="5BDF2D93">
            <w:pPr>
              <w:pStyle w:val="37"/>
              <w:spacing w:line="240" w:lineRule="auto"/>
              <w:ind w:left="0"/>
              <w:jc w:val="center"/>
              <w:rPr>
                <w:kern w:val="0"/>
              </w:rPr>
            </w:pPr>
            <w:r>
              <w:rPr>
                <w:kern w:val="0"/>
              </w:rPr>
              <w:t>82</w:t>
            </w:r>
          </w:p>
        </w:tc>
        <w:tc>
          <w:tcPr>
            <w:tcW w:w="709" w:type="dxa"/>
            <w:tcBorders>
              <w:top w:val="single" w:color="auto" w:sz="4" w:space="0"/>
              <w:left w:val="single" w:color="auto" w:sz="4" w:space="0"/>
              <w:bottom w:val="single" w:color="auto" w:sz="4" w:space="0"/>
              <w:right w:val="single" w:color="auto" w:sz="4" w:space="0"/>
            </w:tcBorders>
            <w:vAlign w:val="center"/>
          </w:tcPr>
          <w:p w14:paraId="1BE434C6">
            <w:pPr>
              <w:pStyle w:val="37"/>
              <w:spacing w:line="240" w:lineRule="auto"/>
              <w:ind w:left="0"/>
              <w:jc w:val="center"/>
              <w:rPr>
                <w:kern w:val="0"/>
              </w:rPr>
            </w:pPr>
            <w:r>
              <w:rPr>
                <w:kern w:val="0"/>
              </w:rPr>
              <w:t>80</w:t>
            </w:r>
          </w:p>
        </w:tc>
        <w:tc>
          <w:tcPr>
            <w:tcW w:w="2268" w:type="dxa"/>
            <w:tcBorders>
              <w:top w:val="single" w:color="auto" w:sz="4" w:space="0"/>
              <w:left w:val="single" w:color="auto" w:sz="4" w:space="0"/>
              <w:bottom w:val="single" w:color="auto" w:sz="4" w:space="0"/>
              <w:right w:val="single" w:color="auto" w:sz="4" w:space="0"/>
            </w:tcBorders>
            <w:vAlign w:val="center"/>
          </w:tcPr>
          <w:p w14:paraId="1CC957A3">
            <w:pPr>
              <w:pStyle w:val="37"/>
              <w:spacing w:line="240" w:lineRule="auto"/>
              <w:ind w:left="0"/>
              <w:jc w:val="center"/>
              <w:rPr>
                <w:kern w:val="0"/>
              </w:rPr>
            </w:pPr>
            <w:r>
              <w:rPr>
                <w:kern w:val="0"/>
              </w:rPr>
              <w:t>87</w:t>
            </w:r>
          </w:p>
        </w:tc>
        <w:tc>
          <w:tcPr>
            <w:tcW w:w="709" w:type="dxa"/>
            <w:tcBorders>
              <w:top w:val="single" w:color="auto" w:sz="4" w:space="0"/>
              <w:left w:val="single" w:color="auto" w:sz="4" w:space="0"/>
              <w:bottom w:val="single" w:color="auto" w:sz="4" w:space="0"/>
              <w:right w:val="single" w:color="auto" w:sz="4" w:space="0"/>
            </w:tcBorders>
            <w:vAlign w:val="center"/>
          </w:tcPr>
          <w:p w14:paraId="7333DB88">
            <w:pPr>
              <w:pStyle w:val="37"/>
              <w:spacing w:line="240" w:lineRule="auto"/>
              <w:ind w:left="0"/>
              <w:jc w:val="center"/>
              <w:rPr>
                <w:kern w:val="0"/>
              </w:rPr>
            </w:pPr>
            <w:r>
              <w:rPr>
                <w:kern w:val="0"/>
              </w:rPr>
              <w:t>65</w:t>
            </w:r>
          </w:p>
        </w:tc>
        <w:tc>
          <w:tcPr>
            <w:tcW w:w="2293" w:type="dxa"/>
            <w:tcBorders>
              <w:top w:val="single" w:color="auto" w:sz="4" w:space="0"/>
              <w:left w:val="single" w:color="auto" w:sz="4" w:space="0"/>
              <w:bottom w:val="single" w:color="auto" w:sz="4" w:space="0"/>
              <w:right w:val="single" w:color="auto" w:sz="4" w:space="0"/>
            </w:tcBorders>
            <w:vAlign w:val="center"/>
          </w:tcPr>
          <w:p w14:paraId="2779F003">
            <w:pPr>
              <w:pStyle w:val="37"/>
              <w:spacing w:line="240" w:lineRule="auto"/>
              <w:ind w:left="0"/>
              <w:jc w:val="center"/>
              <w:rPr>
                <w:kern w:val="0"/>
              </w:rPr>
            </w:pPr>
            <w:r>
              <w:rPr>
                <w:kern w:val="0"/>
              </w:rPr>
              <w:t>82</w:t>
            </w:r>
          </w:p>
        </w:tc>
      </w:tr>
    </w:tbl>
    <w:p w14:paraId="7969341A">
      <w:pPr>
        <w:pStyle w:val="37"/>
        <w:ind w:left="0" w:firstLine="480" w:firstLineChars="200"/>
      </w:pPr>
      <w:r>
        <w:t>原灰样2的45μm筛余分别为28%，从细度指标判断属于Ⅱ级粉煤灰（标准要求≤30%）。选取原灰样2物理改性粉煤灰样品（编号为VZ2CF0.8-360-120-150-20）与原灰样2进行对比可以发现：中位粒径D50由32.0μm降至9.5μm，45μm筛余由28.0%降至0%，比表面积由359m2/kg增至568m</w:t>
      </w:r>
      <w:r>
        <w:rPr>
          <w:vertAlign w:val="superscript"/>
        </w:rPr>
        <w:t>2</w:t>
      </w:r>
      <w:r>
        <w:t>/kg（比表面积为密度2.3g/cm3时估算值）；需水量比由96%降至95%，胶砂流动度由240mm增至255mm</w:t>
      </w:r>
      <w:r>
        <w:rPr>
          <w:rFonts w:hint="eastAsia"/>
        </w:rPr>
        <w:t>；</w:t>
      </w:r>
      <w:r>
        <w:t>3d强度活性指数由62%提高至68%，28天活性指数由80%提高至87%。</w:t>
      </w:r>
    </w:p>
    <w:p w14:paraId="5400B6EA">
      <w:pPr>
        <w:pStyle w:val="37"/>
        <w:ind w:left="0" w:firstLine="480" w:firstLineChars="200"/>
      </w:pPr>
      <w:r>
        <w:t>原灰样3的45μm筛余为84.4%，超过Ⅲ级粉煤灰细度指标要求（≤45%），比Ⅲ级粉煤灰更粗。选取原灰样3物理改性粉煤灰样品（编号为VZ3CF0.8-360-120-150-30）与原灰样3进行对比可以发现：中位粒径D50由102.8μm降至21.6μm，45μm筛余由84.4%降至14.2%，比表面积由78m2/kg增至368m2/kg（比表面积为密度2.3g/cm3时估算值）；需水量比由96%降至94%，胶砂流动度由203mm增至237mm；3d强度活性指数由53%提高至65%，28天活性指数由65%提高至82%。同时，磨细灰样品（编号为VZ3CF0.8-360-120-150-30）与电厂分选Ⅰ级粉煤灰（原灰样1）相比，细度略粗，继续研磨可磨至Ⅰ级粉煤灰细度要求甚至超细粉煤灰；需水量比低1%；28天强度活性指数相同。</w:t>
      </w:r>
    </w:p>
    <w:p w14:paraId="3A761762">
      <w:pPr>
        <w:pStyle w:val="37"/>
        <w:ind w:left="0" w:firstLine="480" w:firstLineChars="200"/>
      </w:pPr>
      <w:r>
        <w:t>磨细灰样品VZ2CF0.8-360-120-150-20计算生产电耗约为14kWh/t，即由Ⅱ级粉煤灰研磨至Ⅰ级粉煤灰的电耗；磨细灰样品VZ3CF0.8-360-120-150-30计算生产电耗约为23kWh/t，即由比Ⅲ级粉煤灰更加粗的原灰（45μm筛余84%）研磨至Ⅰ级粉煤灰的电耗。粉煤灰样品易磨性好，研磨电耗低。</w:t>
      </w:r>
    </w:p>
    <w:p w14:paraId="27E3EE34">
      <w:pPr>
        <w:pStyle w:val="37"/>
        <w:numPr>
          <w:ilvl w:val="3"/>
          <w:numId w:val="2"/>
        </w:numPr>
        <w:ind w:firstLine="482" w:firstLineChars="200"/>
        <w:outlineLvl w:val="3"/>
        <w:rPr>
          <w:b/>
          <w:bCs/>
        </w:rPr>
      </w:pPr>
      <w:r>
        <w:rPr>
          <w:b/>
          <w:bCs/>
        </w:rPr>
        <w:t>福建泉州鸿山电厂</w:t>
      </w:r>
    </w:p>
    <w:p w14:paraId="4050FCD4">
      <w:pPr>
        <w:pStyle w:val="37"/>
        <w:ind w:left="0" w:firstLine="480" w:firstLineChars="200"/>
      </w:pPr>
      <w:r>
        <w:t>福建泉州鸿山电厂粉煤灰</w:t>
      </w:r>
      <w:r>
        <w:rPr>
          <w:rFonts w:hint="eastAsia"/>
        </w:rPr>
        <w:t>理化性能</w:t>
      </w:r>
      <w:r>
        <w:t>试验结果见</w:t>
      </w:r>
      <w:r>
        <w:fldChar w:fldCharType="begin"/>
      </w:r>
      <w:r>
        <w:instrText xml:space="preserve"> REF _Ref230706751 \h  \* MERGEFORMAT </w:instrText>
      </w:r>
      <w:r>
        <w:fldChar w:fldCharType="separate"/>
      </w:r>
      <w:r>
        <w:rPr>
          <w:rFonts w:hint="eastAsia"/>
        </w:rPr>
        <w:t>表</w:t>
      </w:r>
      <w:r>
        <w:t>5</w:t>
      </w:r>
      <w:r>
        <w:fldChar w:fldCharType="end"/>
      </w:r>
      <w:r>
        <w:t>。</w:t>
      </w:r>
    </w:p>
    <w:p w14:paraId="655F5D6A">
      <w:pPr>
        <w:jc w:val="center"/>
      </w:pPr>
      <w:bookmarkStart w:id="8" w:name="_Ref230706751"/>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5</w:t>
      </w:r>
      <w:r>
        <w:fldChar w:fldCharType="end"/>
      </w:r>
      <w:bookmarkEnd w:id="8"/>
      <w:r>
        <w:rPr>
          <w:rFonts w:hint="eastAsia"/>
        </w:rPr>
        <w:t xml:space="preserve"> </w:t>
      </w:r>
      <w:r>
        <w:t>福建泉州鸿山电厂粉煤灰理化性能</w:t>
      </w:r>
    </w:p>
    <w:tbl>
      <w:tblPr>
        <w:tblStyle w:val="19"/>
        <w:tblW w:w="525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99"/>
        <w:gridCol w:w="778"/>
        <w:gridCol w:w="769"/>
        <w:gridCol w:w="713"/>
        <w:gridCol w:w="713"/>
        <w:gridCol w:w="1132"/>
        <w:gridCol w:w="713"/>
        <w:gridCol w:w="848"/>
        <w:gridCol w:w="889"/>
        <w:gridCol w:w="1209"/>
      </w:tblGrid>
      <w:tr w14:paraId="01DCD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3" w:hRule="atLeast"/>
          <w:jc w:val="center"/>
        </w:trPr>
        <w:tc>
          <w:tcPr>
            <w:tcW w:w="570"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168F8859">
            <w:pPr>
              <w:autoSpaceDE w:val="0"/>
              <w:spacing w:line="240" w:lineRule="auto"/>
              <w:jc w:val="center"/>
            </w:pPr>
          </w:p>
        </w:tc>
        <w:tc>
          <w:tcPr>
            <w:tcW w:w="444"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1B6E73D5">
            <w:pPr>
              <w:autoSpaceDE w:val="0"/>
              <w:spacing w:line="240" w:lineRule="auto"/>
              <w:jc w:val="center"/>
            </w:pPr>
            <w:r>
              <w:t>烧失量（%）</w:t>
            </w:r>
          </w:p>
        </w:tc>
        <w:tc>
          <w:tcPr>
            <w:tcW w:w="439"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73D875D1">
            <w:pPr>
              <w:autoSpaceDE w:val="0"/>
              <w:spacing w:line="240" w:lineRule="auto"/>
              <w:jc w:val="center"/>
            </w:pPr>
            <w:r>
              <w:t>游离</w:t>
            </w:r>
          </w:p>
          <w:p w14:paraId="775E8060">
            <w:pPr>
              <w:autoSpaceDE w:val="0"/>
              <w:spacing w:line="240" w:lineRule="auto"/>
              <w:jc w:val="center"/>
            </w:pPr>
            <w:r>
              <w:t>氧化钙（%）</w:t>
            </w:r>
          </w:p>
        </w:tc>
        <w:tc>
          <w:tcPr>
            <w:tcW w:w="407"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7F6FE672">
            <w:pPr>
              <w:autoSpaceDE w:val="0"/>
              <w:spacing w:line="240" w:lineRule="auto"/>
              <w:jc w:val="center"/>
            </w:pPr>
            <w:r>
              <w:t>二氧化硫（%）</w:t>
            </w:r>
          </w:p>
        </w:tc>
        <w:tc>
          <w:tcPr>
            <w:tcW w:w="407"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02E8A21F">
            <w:pPr>
              <w:autoSpaceDE w:val="0"/>
              <w:spacing w:line="240" w:lineRule="auto"/>
              <w:jc w:val="center"/>
            </w:pPr>
            <w:r>
              <w:t>45μm筛余（%）</w:t>
            </w:r>
          </w:p>
        </w:tc>
        <w:tc>
          <w:tcPr>
            <w:tcW w:w="646"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31A038BC">
            <w:pPr>
              <w:autoSpaceDE w:val="0"/>
              <w:spacing w:line="240" w:lineRule="auto"/>
              <w:jc w:val="center"/>
            </w:pPr>
            <w:r>
              <w:t>密度</w:t>
            </w:r>
            <w:r>
              <w:rPr>
                <w:rFonts w:hint="eastAsia"/>
              </w:rPr>
              <w:t>（</w:t>
            </w:r>
            <w:r>
              <w:t>kg/m</w:t>
            </w:r>
            <w:r>
              <w:rPr>
                <w:vertAlign w:val="superscript"/>
              </w:rPr>
              <w:t>3</w:t>
            </w:r>
            <w:r>
              <w:rPr>
                <w:rFonts w:hint="eastAsia"/>
              </w:rPr>
              <w:t>）</w:t>
            </w:r>
          </w:p>
        </w:tc>
        <w:tc>
          <w:tcPr>
            <w:tcW w:w="407"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6AAD43FC">
            <w:pPr>
              <w:autoSpaceDE w:val="0"/>
              <w:spacing w:line="240" w:lineRule="auto"/>
              <w:jc w:val="center"/>
            </w:pPr>
            <w:r>
              <w:t>需水量比（%）</w:t>
            </w:r>
          </w:p>
        </w:tc>
        <w:tc>
          <w:tcPr>
            <w:tcW w:w="484"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14161A87">
            <w:pPr>
              <w:autoSpaceDE w:val="0"/>
              <w:spacing w:line="240" w:lineRule="auto"/>
              <w:jc w:val="center"/>
            </w:pPr>
            <w:r>
              <w:t>含水量（%）</w:t>
            </w:r>
          </w:p>
        </w:tc>
        <w:tc>
          <w:tcPr>
            <w:tcW w:w="507"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2F0469D0">
            <w:pPr>
              <w:autoSpaceDE w:val="0"/>
              <w:spacing w:line="240" w:lineRule="auto"/>
              <w:jc w:val="center"/>
            </w:pPr>
            <w:r>
              <w:t>雷氏法安定性（mm）</w:t>
            </w:r>
          </w:p>
        </w:tc>
        <w:tc>
          <w:tcPr>
            <w:tcW w:w="689"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575C0FF3">
            <w:pPr>
              <w:autoSpaceDE w:val="0"/>
              <w:spacing w:line="240" w:lineRule="auto"/>
              <w:jc w:val="center"/>
            </w:pPr>
            <w:r>
              <w:t>28天强度活性指数（%）</w:t>
            </w:r>
          </w:p>
        </w:tc>
      </w:tr>
      <w:tr w14:paraId="68CD3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570"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0F40DF58">
            <w:pPr>
              <w:autoSpaceDE w:val="0"/>
              <w:spacing w:line="240" w:lineRule="auto"/>
              <w:jc w:val="center"/>
            </w:pPr>
            <w:r>
              <w:t>原灰</w:t>
            </w:r>
          </w:p>
        </w:tc>
        <w:tc>
          <w:tcPr>
            <w:tcW w:w="444"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46C4F00A">
            <w:pPr>
              <w:autoSpaceDE w:val="0"/>
              <w:spacing w:line="240" w:lineRule="auto"/>
              <w:jc w:val="center"/>
            </w:pPr>
            <w:r>
              <w:t>2.24</w:t>
            </w:r>
          </w:p>
        </w:tc>
        <w:tc>
          <w:tcPr>
            <w:tcW w:w="439"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0C397B8A">
            <w:pPr>
              <w:autoSpaceDE w:val="0"/>
              <w:spacing w:line="240" w:lineRule="auto"/>
              <w:jc w:val="center"/>
            </w:pPr>
            <w:r>
              <w:t>0.20</w:t>
            </w:r>
          </w:p>
        </w:tc>
        <w:tc>
          <w:tcPr>
            <w:tcW w:w="407"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144510B0">
            <w:pPr>
              <w:autoSpaceDE w:val="0"/>
              <w:spacing w:line="240" w:lineRule="auto"/>
              <w:jc w:val="center"/>
            </w:pPr>
            <w:r>
              <w:t>0.35</w:t>
            </w:r>
          </w:p>
        </w:tc>
        <w:tc>
          <w:tcPr>
            <w:tcW w:w="407"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389DE237">
            <w:pPr>
              <w:autoSpaceDE w:val="0"/>
              <w:spacing w:line="240" w:lineRule="auto"/>
              <w:jc w:val="center"/>
            </w:pPr>
            <w:r>
              <w:t xml:space="preserve">29.0 </w:t>
            </w:r>
          </w:p>
        </w:tc>
        <w:tc>
          <w:tcPr>
            <w:tcW w:w="646"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1BFC2D40">
            <w:pPr>
              <w:autoSpaceDE w:val="0"/>
              <w:spacing w:line="240" w:lineRule="auto"/>
              <w:jc w:val="center"/>
            </w:pPr>
            <w:r>
              <w:t>2.2</w:t>
            </w:r>
          </w:p>
        </w:tc>
        <w:tc>
          <w:tcPr>
            <w:tcW w:w="407"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3460BEDA">
            <w:pPr>
              <w:autoSpaceDE w:val="0"/>
              <w:spacing w:line="240" w:lineRule="auto"/>
              <w:jc w:val="center"/>
            </w:pPr>
            <w:r>
              <w:t>97</w:t>
            </w:r>
          </w:p>
        </w:tc>
        <w:tc>
          <w:tcPr>
            <w:tcW w:w="484"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7E86796C">
            <w:pPr>
              <w:autoSpaceDE w:val="0"/>
              <w:spacing w:line="240" w:lineRule="auto"/>
              <w:jc w:val="center"/>
            </w:pPr>
            <w:r>
              <w:t>0.20</w:t>
            </w:r>
          </w:p>
        </w:tc>
        <w:tc>
          <w:tcPr>
            <w:tcW w:w="507"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07ED2856">
            <w:pPr>
              <w:autoSpaceDE w:val="0"/>
              <w:spacing w:line="240" w:lineRule="auto"/>
              <w:jc w:val="center"/>
            </w:pPr>
            <w:r>
              <w:t>1.0</w:t>
            </w:r>
          </w:p>
        </w:tc>
        <w:tc>
          <w:tcPr>
            <w:tcW w:w="689"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303127B6">
            <w:pPr>
              <w:autoSpaceDE w:val="0"/>
              <w:spacing w:line="240" w:lineRule="auto"/>
              <w:jc w:val="center"/>
            </w:pPr>
            <w:r>
              <w:t>83</w:t>
            </w:r>
          </w:p>
        </w:tc>
      </w:tr>
      <w:tr w14:paraId="08540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71" w:hRule="atLeast"/>
          <w:jc w:val="center"/>
        </w:trPr>
        <w:tc>
          <w:tcPr>
            <w:tcW w:w="570"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245D2639">
            <w:pPr>
              <w:autoSpaceDE w:val="0"/>
              <w:spacing w:line="240" w:lineRule="auto"/>
              <w:jc w:val="center"/>
            </w:pPr>
            <w:r>
              <w:t>物理改性粉煤灰</w:t>
            </w:r>
          </w:p>
        </w:tc>
        <w:tc>
          <w:tcPr>
            <w:tcW w:w="444"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24902D87">
            <w:pPr>
              <w:autoSpaceDE w:val="0"/>
              <w:spacing w:line="240" w:lineRule="auto"/>
              <w:jc w:val="center"/>
            </w:pPr>
            <w:r>
              <w:t>2.46</w:t>
            </w:r>
          </w:p>
        </w:tc>
        <w:tc>
          <w:tcPr>
            <w:tcW w:w="439"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4A2F5F32">
            <w:pPr>
              <w:autoSpaceDE w:val="0"/>
              <w:spacing w:line="240" w:lineRule="auto"/>
              <w:jc w:val="center"/>
            </w:pPr>
            <w:r>
              <w:t>0.25</w:t>
            </w:r>
          </w:p>
        </w:tc>
        <w:tc>
          <w:tcPr>
            <w:tcW w:w="407"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1663E220">
            <w:pPr>
              <w:autoSpaceDE w:val="0"/>
              <w:spacing w:line="240" w:lineRule="auto"/>
              <w:jc w:val="center"/>
            </w:pPr>
            <w:r>
              <w:t>0.41</w:t>
            </w:r>
          </w:p>
        </w:tc>
        <w:tc>
          <w:tcPr>
            <w:tcW w:w="407"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10E69AC1">
            <w:pPr>
              <w:autoSpaceDE w:val="0"/>
              <w:spacing w:line="240" w:lineRule="auto"/>
              <w:jc w:val="center"/>
            </w:pPr>
            <w:r>
              <w:t>1.0</w:t>
            </w:r>
          </w:p>
        </w:tc>
        <w:tc>
          <w:tcPr>
            <w:tcW w:w="646"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79CB8945">
            <w:pPr>
              <w:autoSpaceDE w:val="0"/>
              <w:spacing w:line="240" w:lineRule="auto"/>
              <w:jc w:val="center"/>
            </w:pPr>
            <w:r>
              <w:t>2.35</w:t>
            </w:r>
          </w:p>
        </w:tc>
        <w:tc>
          <w:tcPr>
            <w:tcW w:w="407"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105E0DE3">
            <w:pPr>
              <w:autoSpaceDE w:val="0"/>
              <w:spacing w:line="240" w:lineRule="auto"/>
              <w:jc w:val="center"/>
            </w:pPr>
            <w:r>
              <w:t>93</w:t>
            </w:r>
          </w:p>
        </w:tc>
        <w:tc>
          <w:tcPr>
            <w:tcW w:w="484"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03476DA6">
            <w:pPr>
              <w:autoSpaceDE w:val="0"/>
              <w:spacing w:line="240" w:lineRule="auto"/>
              <w:jc w:val="center"/>
            </w:pPr>
            <w:r>
              <w:t>0.30</w:t>
            </w:r>
          </w:p>
        </w:tc>
        <w:tc>
          <w:tcPr>
            <w:tcW w:w="507"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664624E9">
            <w:pPr>
              <w:autoSpaceDE w:val="0"/>
              <w:spacing w:line="240" w:lineRule="auto"/>
              <w:jc w:val="center"/>
            </w:pPr>
            <w:r>
              <w:t>0.5</w:t>
            </w:r>
          </w:p>
        </w:tc>
        <w:tc>
          <w:tcPr>
            <w:tcW w:w="689"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14:paraId="2C02F3E9">
            <w:pPr>
              <w:autoSpaceDE w:val="0"/>
              <w:spacing w:line="240" w:lineRule="auto"/>
              <w:jc w:val="center"/>
            </w:pPr>
            <w:r>
              <w:t>99</w:t>
            </w:r>
          </w:p>
        </w:tc>
      </w:tr>
    </w:tbl>
    <w:p w14:paraId="554D5DCC">
      <w:pPr>
        <w:pStyle w:val="37"/>
        <w:ind w:left="0" w:firstLine="480" w:firstLineChars="200"/>
      </w:pPr>
      <w:r>
        <w:t>从</w:t>
      </w:r>
      <w:r>
        <w:fldChar w:fldCharType="begin"/>
      </w:r>
      <w:r>
        <w:instrText xml:space="preserve"> REF _Ref230706751 \h  \* MERGEFORMAT </w:instrText>
      </w:r>
      <w:r>
        <w:fldChar w:fldCharType="separate"/>
      </w:r>
      <w:r>
        <w:rPr>
          <w:rFonts w:hint="eastAsia"/>
        </w:rPr>
        <w:t>表</w:t>
      </w:r>
      <w:r>
        <w:t>5</w:t>
      </w:r>
      <w:r>
        <w:fldChar w:fldCharType="end"/>
      </w:r>
      <w:r>
        <w:t>分析，经过研磨整形后的物理改性粉煤灰，细度（45μm筛余）由原状灰29.0%降低至1.0%，需水量比由97%降低至93%；活性指数由83%提高至99%，物理改性粉煤灰物理性能大大提升，由原来的III级灰品质提升至I级灰品质。</w:t>
      </w:r>
    </w:p>
    <w:p w14:paraId="682BA9D5">
      <w:pPr>
        <w:pStyle w:val="37"/>
        <w:numPr>
          <w:ilvl w:val="3"/>
          <w:numId w:val="2"/>
        </w:numPr>
        <w:ind w:firstLine="482" w:firstLineChars="200"/>
        <w:outlineLvl w:val="3"/>
        <w:rPr>
          <w:b/>
          <w:bCs/>
        </w:rPr>
      </w:pPr>
      <w:r>
        <w:rPr>
          <w:b/>
          <w:bCs/>
        </w:rPr>
        <w:t>宁夏建材宁东分厂</w:t>
      </w:r>
    </w:p>
    <w:p w14:paraId="63D20192">
      <w:pPr>
        <w:pStyle w:val="37"/>
        <w:numPr>
          <w:ilvl w:val="0"/>
          <w:numId w:val="4"/>
        </w:numPr>
      </w:pPr>
      <w:r>
        <w:rPr>
          <w:rFonts w:hint="eastAsia"/>
        </w:rPr>
        <w:t>粒径</w:t>
      </w:r>
      <w:r>
        <w:t>分布</w:t>
      </w:r>
    </w:p>
    <w:p w14:paraId="7D4BB2F1">
      <w:pPr>
        <w:ind w:firstLine="480" w:firstLineChars="200"/>
      </w:pPr>
      <w:r>
        <w:t>由</w:t>
      </w:r>
      <w:r>
        <w:fldChar w:fldCharType="begin"/>
      </w:r>
      <w:r>
        <w:instrText xml:space="preserve"> REF _Ref230707309 \h  \* MERGEFORMAT </w:instrText>
      </w:r>
      <w:r>
        <w:fldChar w:fldCharType="separate"/>
      </w:r>
      <w:r>
        <w:rPr>
          <w:rFonts w:hint="eastAsia"/>
        </w:rPr>
        <w:t>表</w:t>
      </w:r>
      <w:r>
        <w:t>6</w:t>
      </w:r>
      <w:r>
        <w:fldChar w:fldCharType="end"/>
      </w:r>
      <w:r>
        <w:rPr>
          <w:rFonts w:hint="eastAsia"/>
        </w:rPr>
        <w:t>可知</w:t>
      </w:r>
      <w:r>
        <w:t>，粉煤灰原灰含有大量大颗粒，与原灰相比，研磨后的粉煤灰粒径分布曲线向左移动，中值粒径明显变小，粒度分布宽度变宽；在筛余细度接近时，物理改性粉煤灰与电厂风选Ⅰ级粉煤灰的粒径分布也比较接近。</w:t>
      </w:r>
    </w:p>
    <w:p w14:paraId="624E8CCF">
      <w:pPr>
        <w:ind w:firstLine="480" w:firstLineChars="200"/>
      </w:pPr>
    </w:p>
    <w:p w14:paraId="25D64074">
      <w:pPr>
        <w:pStyle w:val="37"/>
        <w:ind w:left="0" w:firstLine="480" w:firstLineChars="200"/>
        <w:sectPr>
          <w:pgSz w:w="11906" w:h="16838"/>
          <w:pgMar w:top="1440" w:right="1800" w:bottom="1440" w:left="1800" w:header="851" w:footer="992" w:gutter="0"/>
          <w:cols w:space="425" w:num="1"/>
          <w:docGrid w:type="lines" w:linePitch="312" w:charSpace="0"/>
        </w:sectPr>
      </w:pPr>
    </w:p>
    <w:p w14:paraId="0A9317BB">
      <w:pPr>
        <w:ind w:right="-175" w:rightChars="-73" w:firstLine="480" w:firstLineChars="200"/>
        <w:jc w:val="center"/>
      </w:pPr>
      <w:bookmarkStart w:id="9" w:name="_Ref230707309"/>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6</w:t>
      </w:r>
      <w:r>
        <w:fldChar w:fldCharType="end"/>
      </w:r>
      <w:bookmarkEnd w:id="9"/>
      <w:r>
        <w:rPr>
          <w:rFonts w:hint="eastAsia"/>
        </w:rPr>
        <w:t xml:space="preserve"> </w:t>
      </w:r>
      <w:r>
        <w:t>粉煤灰颗粒分布</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7"/>
        <w:gridCol w:w="1154"/>
        <w:gridCol w:w="1023"/>
        <w:gridCol w:w="1023"/>
        <w:gridCol w:w="1023"/>
        <w:gridCol w:w="1023"/>
        <w:gridCol w:w="1029"/>
        <w:gridCol w:w="1052"/>
        <w:gridCol w:w="1052"/>
        <w:gridCol w:w="1052"/>
        <w:gridCol w:w="1055"/>
        <w:gridCol w:w="1171"/>
        <w:gridCol w:w="1080"/>
      </w:tblGrid>
      <w:tr w14:paraId="5D1B4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07" w:type="pct"/>
            <w:vMerge w:val="restart"/>
            <w:tcBorders>
              <w:top w:val="single" w:color="auto" w:sz="4" w:space="0"/>
              <w:left w:val="single" w:color="auto" w:sz="4" w:space="0"/>
              <w:bottom w:val="single" w:color="auto" w:sz="4" w:space="0"/>
              <w:right w:val="single" w:color="auto" w:sz="4" w:space="0"/>
            </w:tcBorders>
            <w:vAlign w:val="center"/>
          </w:tcPr>
          <w:p w14:paraId="480224AB">
            <w:pPr>
              <w:spacing w:line="240" w:lineRule="auto"/>
              <w:jc w:val="center"/>
              <w:rPr>
                <w:kern w:val="0"/>
              </w:rPr>
            </w:pPr>
            <w:r>
              <w:rPr>
                <w:kern w:val="0"/>
              </w:rPr>
              <w:t>编号</w:t>
            </w:r>
          </w:p>
        </w:tc>
        <w:tc>
          <w:tcPr>
            <w:tcW w:w="407" w:type="pct"/>
            <w:vMerge w:val="restart"/>
            <w:tcBorders>
              <w:top w:val="single" w:color="auto" w:sz="4" w:space="0"/>
              <w:left w:val="single" w:color="auto" w:sz="4" w:space="0"/>
              <w:bottom w:val="single" w:color="auto" w:sz="4" w:space="0"/>
              <w:right w:val="single" w:color="auto" w:sz="4" w:space="0"/>
            </w:tcBorders>
            <w:vAlign w:val="center"/>
          </w:tcPr>
          <w:p w14:paraId="154595C1">
            <w:pPr>
              <w:spacing w:line="240" w:lineRule="auto"/>
              <w:jc w:val="center"/>
              <w:rPr>
                <w:b/>
                <w:bCs/>
                <w:kern w:val="0"/>
              </w:rPr>
            </w:pPr>
            <w:r>
              <w:rPr>
                <w:kern w:val="0"/>
              </w:rPr>
              <w:t>45μm筛余（%）</w:t>
            </w:r>
          </w:p>
        </w:tc>
        <w:tc>
          <w:tcPr>
            <w:tcW w:w="1807" w:type="pct"/>
            <w:gridSpan w:val="5"/>
            <w:tcBorders>
              <w:top w:val="single" w:color="auto" w:sz="4" w:space="0"/>
              <w:left w:val="single" w:color="auto" w:sz="4" w:space="0"/>
              <w:bottom w:val="single" w:color="auto" w:sz="4" w:space="0"/>
              <w:right w:val="single" w:color="auto" w:sz="4" w:space="0"/>
            </w:tcBorders>
            <w:vAlign w:val="center"/>
          </w:tcPr>
          <w:p w14:paraId="298EDA97">
            <w:pPr>
              <w:spacing w:line="240" w:lineRule="auto"/>
              <w:jc w:val="center"/>
              <w:rPr>
                <w:kern w:val="0"/>
              </w:rPr>
            </w:pPr>
            <w:r>
              <w:rPr>
                <w:kern w:val="0"/>
              </w:rPr>
              <w:t>粒径分布</w:t>
            </w:r>
            <w:r>
              <w:rPr>
                <w:rFonts w:hint="eastAsia"/>
                <w:kern w:val="0"/>
              </w:rPr>
              <w:t>（</w:t>
            </w:r>
            <w:r>
              <w:rPr>
                <w:kern w:val="0"/>
              </w:rPr>
              <w:t>μm</w:t>
            </w:r>
            <w:r>
              <w:rPr>
                <w:rFonts w:hint="eastAsia"/>
                <w:kern w:val="0"/>
              </w:rPr>
              <w:t>）</w:t>
            </w:r>
          </w:p>
        </w:tc>
        <w:tc>
          <w:tcPr>
            <w:tcW w:w="1485" w:type="pct"/>
            <w:gridSpan w:val="4"/>
            <w:tcBorders>
              <w:top w:val="single" w:color="auto" w:sz="4" w:space="0"/>
              <w:left w:val="single" w:color="auto" w:sz="4" w:space="0"/>
              <w:bottom w:val="single" w:color="auto" w:sz="4" w:space="0"/>
              <w:right w:val="single" w:color="auto" w:sz="4" w:space="0"/>
            </w:tcBorders>
            <w:vAlign w:val="center"/>
          </w:tcPr>
          <w:p w14:paraId="6864A5A6">
            <w:pPr>
              <w:spacing w:line="240" w:lineRule="auto"/>
              <w:jc w:val="center"/>
              <w:rPr>
                <w:kern w:val="0"/>
              </w:rPr>
            </w:pPr>
            <w:r>
              <w:rPr>
                <w:kern w:val="0"/>
              </w:rPr>
              <w:t>粒径累计（%）</w:t>
            </w:r>
          </w:p>
        </w:tc>
        <w:tc>
          <w:tcPr>
            <w:tcW w:w="413" w:type="pct"/>
            <w:vMerge w:val="restart"/>
            <w:tcBorders>
              <w:top w:val="single" w:color="auto" w:sz="4" w:space="0"/>
              <w:left w:val="single" w:color="auto" w:sz="4" w:space="0"/>
              <w:bottom w:val="single" w:color="auto" w:sz="4" w:space="0"/>
              <w:right w:val="single" w:color="auto" w:sz="4" w:space="0"/>
            </w:tcBorders>
            <w:vAlign w:val="center"/>
          </w:tcPr>
          <w:p w14:paraId="7552ACE8">
            <w:pPr>
              <w:spacing w:line="240" w:lineRule="auto"/>
              <w:jc w:val="center"/>
              <w:rPr>
                <w:kern w:val="0"/>
              </w:rPr>
            </w:pPr>
            <w:r>
              <w:rPr>
                <w:kern w:val="0"/>
              </w:rPr>
              <w:t>分布宽度Span</w:t>
            </w:r>
          </w:p>
        </w:tc>
        <w:tc>
          <w:tcPr>
            <w:tcW w:w="381" w:type="pct"/>
            <w:vMerge w:val="restart"/>
            <w:tcBorders>
              <w:top w:val="single" w:color="auto" w:sz="4" w:space="0"/>
              <w:left w:val="single" w:color="auto" w:sz="4" w:space="0"/>
              <w:bottom w:val="single" w:color="auto" w:sz="4" w:space="0"/>
              <w:right w:val="single" w:color="auto" w:sz="4" w:space="0"/>
            </w:tcBorders>
            <w:vAlign w:val="center"/>
          </w:tcPr>
          <w:p w14:paraId="0C34B548">
            <w:pPr>
              <w:spacing w:line="240" w:lineRule="auto"/>
              <w:jc w:val="center"/>
              <w:rPr>
                <w:kern w:val="0"/>
              </w:rPr>
            </w:pPr>
            <w:r>
              <w:rPr>
                <w:kern w:val="0"/>
              </w:rPr>
              <w:t>均匀性系数n</w:t>
            </w:r>
          </w:p>
        </w:tc>
      </w:tr>
      <w:tr w14:paraId="00926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07" w:type="pct"/>
            <w:vMerge w:val="continue"/>
            <w:tcBorders>
              <w:top w:val="single" w:color="auto" w:sz="4" w:space="0"/>
              <w:left w:val="single" w:color="auto" w:sz="4" w:space="0"/>
              <w:bottom w:val="single" w:color="auto" w:sz="4" w:space="0"/>
              <w:right w:val="single" w:color="auto" w:sz="4" w:space="0"/>
            </w:tcBorders>
            <w:vAlign w:val="center"/>
          </w:tcPr>
          <w:p w14:paraId="7A699112">
            <w:pPr>
              <w:spacing w:line="240" w:lineRule="auto"/>
              <w:jc w:val="left"/>
              <w:rPr>
                <w:kern w:val="2"/>
              </w:rPr>
            </w:pPr>
          </w:p>
        </w:tc>
        <w:tc>
          <w:tcPr>
            <w:tcW w:w="407" w:type="pct"/>
            <w:vMerge w:val="continue"/>
            <w:tcBorders>
              <w:top w:val="single" w:color="auto" w:sz="4" w:space="0"/>
              <w:left w:val="single" w:color="auto" w:sz="4" w:space="0"/>
              <w:bottom w:val="single" w:color="auto" w:sz="4" w:space="0"/>
              <w:right w:val="single" w:color="auto" w:sz="4" w:space="0"/>
            </w:tcBorders>
            <w:vAlign w:val="center"/>
          </w:tcPr>
          <w:p w14:paraId="3EEF58B3">
            <w:pPr>
              <w:spacing w:line="240" w:lineRule="auto"/>
              <w:jc w:val="left"/>
              <w:rPr>
                <w:b/>
                <w:bCs/>
                <w:kern w:val="2"/>
              </w:rPr>
            </w:pPr>
          </w:p>
        </w:tc>
        <w:tc>
          <w:tcPr>
            <w:tcW w:w="361" w:type="pct"/>
            <w:tcBorders>
              <w:top w:val="single" w:color="auto" w:sz="4" w:space="0"/>
              <w:left w:val="single" w:color="auto" w:sz="4" w:space="0"/>
              <w:bottom w:val="single" w:color="auto" w:sz="4" w:space="0"/>
              <w:right w:val="single" w:color="auto" w:sz="4" w:space="0"/>
            </w:tcBorders>
            <w:vAlign w:val="center"/>
          </w:tcPr>
          <w:p w14:paraId="7F2A99EC">
            <w:pPr>
              <w:spacing w:line="240" w:lineRule="auto"/>
              <w:jc w:val="center"/>
              <w:rPr>
                <w:kern w:val="0"/>
              </w:rPr>
            </w:pPr>
            <w:r>
              <w:rPr>
                <w:kern w:val="0"/>
              </w:rPr>
              <w:t>D10</w:t>
            </w:r>
          </w:p>
        </w:tc>
        <w:tc>
          <w:tcPr>
            <w:tcW w:w="361" w:type="pct"/>
            <w:tcBorders>
              <w:top w:val="single" w:color="auto" w:sz="4" w:space="0"/>
              <w:left w:val="single" w:color="auto" w:sz="4" w:space="0"/>
              <w:bottom w:val="single" w:color="auto" w:sz="4" w:space="0"/>
              <w:right w:val="single" w:color="auto" w:sz="4" w:space="0"/>
            </w:tcBorders>
            <w:vAlign w:val="center"/>
          </w:tcPr>
          <w:p w14:paraId="205FFD34">
            <w:pPr>
              <w:spacing w:line="240" w:lineRule="auto"/>
              <w:jc w:val="center"/>
              <w:rPr>
                <w:kern w:val="0"/>
              </w:rPr>
            </w:pPr>
            <w:r>
              <w:rPr>
                <w:kern w:val="0"/>
              </w:rPr>
              <w:t>D25</w:t>
            </w:r>
          </w:p>
        </w:tc>
        <w:tc>
          <w:tcPr>
            <w:tcW w:w="361" w:type="pct"/>
            <w:tcBorders>
              <w:top w:val="single" w:color="auto" w:sz="4" w:space="0"/>
              <w:left w:val="single" w:color="auto" w:sz="4" w:space="0"/>
              <w:bottom w:val="single" w:color="auto" w:sz="4" w:space="0"/>
              <w:right w:val="single" w:color="auto" w:sz="4" w:space="0"/>
            </w:tcBorders>
            <w:vAlign w:val="center"/>
          </w:tcPr>
          <w:p w14:paraId="1D818125">
            <w:pPr>
              <w:spacing w:line="240" w:lineRule="auto"/>
              <w:jc w:val="center"/>
              <w:rPr>
                <w:kern w:val="0"/>
              </w:rPr>
            </w:pPr>
            <w:r>
              <w:rPr>
                <w:kern w:val="0"/>
              </w:rPr>
              <w:t>D50</w:t>
            </w:r>
          </w:p>
        </w:tc>
        <w:tc>
          <w:tcPr>
            <w:tcW w:w="361" w:type="pct"/>
            <w:tcBorders>
              <w:top w:val="single" w:color="auto" w:sz="4" w:space="0"/>
              <w:left w:val="single" w:color="auto" w:sz="4" w:space="0"/>
              <w:bottom w:val="single" w:color="auto" w:sz="4" w:space="0"/>
              <w:right w:val="single" w:color="auto" w:sz="4" w:space="0"/>
            </w:tcBorders>
            <w:vAlign w:val="center"/>
          </w:tcPr>
          <w:p w14:paraId="0C442656">
            <w:pPr>
              <w:spacing w:line="240" w:lineRule="auto"/>
              <w:jc w:val="center"/>
              <w:rPr>
                <w:kern w:val="0"/>
              </w:rPr>
            </w:pPr>
            <w:r>
              <w:rPr>
                <w:kern w:val="0"/>
              </w:rPr>
              <w:t>D75</w:t>
            </w:r>
          </w:p>
        </w:tc>
        <w:tc>
          <w:tcPr>
            <w:tcW w:w="363" w:type="pct"/>
            <w:tcBorders>
              <w:top w:val="single" w:color="auto" w:sz="4" w:space="0"/>
              <w:left w:val="single" w:color="auto" w:sz="4" w:space="0"/>
              <w:bottom w:val="single" w:color="auto" w:sz="4" w:space="0"/>
              <w:right w:val="single" w:color="auto" w:sz="4" w:space="0"/>
            </w:tcBorders>
            <w:vAlign w:val="center"/>
          </w:tcPr>
          <w:p w14:paraId="2D7F6611">
            <w:pPr>
              <w:spacing w:line="240" w:lineRule="auto"/>
              <w:jc w:val="center"/>
              <w:rPr>
                <w:kern w:val="0"/>
              </w:rPr>
            </w:pPr>
            <w:r>
              <w:rPr>
                <w:kern w:val="0"/>
              </w:rPr>
              <w:t>D90</w:t>
            </w:r>
          </w:p>
        </w:tc>
        <w:tc>
          <w:tcPr>
            <w:tcW w:w="371" w:type="pct"/>
            <w:tcBorders>
              <w:top w:val="single" w:color="auto" w:sz="4" w:space="0"/>
              <w:left w:val="single" w:color="auto" w:sz="4" w:space="0"/>
              <w:bottom w:val="single" w:color="auto" w:sz="4" w:space="0"/>
              <w:right w:val="single" w:color="auto" w:sz="4" w:space="0"/>
            </w:tcBorders>
            <w:vAlign w:val="center"/>
          </w:tcPr>
          <w:p w14:paraId="0B7B7631">
            <w:pPr>
              <w:spacing w:line="240" w:lineRule="auto"/>
              <w:jc w:val="center"/>
              <w:rPr>
                <w:b/>
                <w:bCs/>
                <w:kern w:val="0"/>
              </w:rPr>
            </w:pPr>
            <w:r>
              <w:rPr>
                <w:kern w:val="0"/>
              </w:rPr>
              <w:t>＜3μm</w:t>
            </w:r>
          </w:p>
        </w:tc>
        <w:tc>
          <w:tcPr>
            <w:tcW w:w="371" w:type="pct"/>
            <w:tcBorders>
              <w:top w:val="single" w:color="auto" w:sz="4" w:space="0"/>
              <w:left w:val="single" w:color="auto" w:sz="4" w:space="0"/>
              <w:bottom w:val="single" w:color="auto" w:sz="4" w:space="0"/>
              <w:right w:val="single" w:color="auto" w:sz="4" w:space="0"/>
            </w:tcBorders>
            <w:vAlign w:val="center"/>
          </w:tcPr>
          <w:p w14:paraId="1A71EB61">
            <w:pPr>
              <w:spacing w:line="240" w:lineRule="auto"/>
              <w:jc w:val="center"/>
              <w:rPr>
                <w:b/>
                <w:bCs/>
                <w:kern w:val="0"/>
              </w:rPr>
            </w:pPr>
            <w:r>
              <w:rPr>
                <w:kern w:val="0"/>
              </w:rPr>
              <w:t>＜32μm</w:t>
            </w:r>
          </w:p>
        </w:tc>
        <w:tc>
          <w:tcPr>
            <w:tcW w:w="371" w:type="pct"/>
            <w:tcBorders>
              <w:top w:val="single" w:color="auto" w:sz="4" w:space="0"/>
              <w:left w:val="single" w:color="auto" w:sz="4" w:space="0"/>
              <w:bottom w:val="single" w:color="auto" w:sz="4" w:space="0"/>
              <w:right w:val="single" w:color="auto" w:sz="4" w:space="0"/>
            </w:tcBorders>
            <w:vAlign w:val="center"/>
          </w:tcPr>
          <w:p w14:paraId="1F5F96D9">
            <w:pPr>
              <w:spacing w:line="240" w:lineRule="auto"/>
              <w:jc w:val="center"/>
              <w:rPr>
                <w:b/>
                <w:bCs/>
                <w:kern w:val="0"/>
              </w:rPr>
            </w:pPr>
            <w:r>
              <w:rPr>
                <w:kern w:val="0"/>
              </w:rPr>
              <w:t>＜45μm</w:t>
            </w:r>
          </w:p>
        </w:tc>
        <w:tc>
          <w:tcPr>
            <w:tcW w:w="372" w:type="pct"/>
            <w:tcBorders>
              <w:top w:val="single" w:color="auto" w:sz="4" w:space="0"/>
              <w:left w:val="single" w:color="auto" w:sz="4" w:space="0"/>
              <w:bottom w:val="single" w:color="auto" w:sz="4" w:space="0"/>
              <w:right w:val="single" w:color="auto" w:sz="4" w:space="0"/>
            </w:tcBorders>
            <w:vAlign w:val="center"/>
          </w:tcPr>
          <w:p w14:paraId="312AB58F">
            <w:pPr>
              <w:spacing w:line="240" w:lineRule="auto"/>
              <w:jc w:val="center"/>
              <w:rPr>
                <w:b/>
                <w:bCs/>
                <w:kern w:val="0"/>
              </w:rPr>
            </w:pPr>
            <w:r>
              <w:rPr>
                <w:kern w:val="0"/>
              </w:rPr>
              <w:t>＜80μm</w:t>
            </w:r>
          </w:p>
        </w:tc>
        <w:tc>
          <w:tcPr>
            <w:tcW w:w="413" w:type="pct"/>
            <w:vMerge w:val="continue"/>
            <w:tcBorders>
              <w:top w:val="single" w:color="auto" w:sz="4" w:space="0"/>
              <w:left w:val="single" w:color="auto" w:sz="4" w:space="0"/>
              <w:bottom w:val="single" w:color="auto" w:sz="4" w:space="0"/>
              <w:right w:val="single" w:color="auto" w:sz="4" w:space="0"/>
            </w:tcBorders>
            <w:vAlign w:val="center"/>
          </w:tcPr>
          <w:p w14:paraId="4E8407AA">
            <w:pPr>
              <w:spacing w:line="240" w:lineRule="auto"/>
              <w:jc w:val="left"/>
              <w:rPr>
                <w:kern w:val="2"/>
              </w:rPr>
            </w:pPr>
          </w:p>
        </w:tc>
        <w:tc>
          <w:tcPr>
            <w:tcW w:w="381" w:type="pct"/>
            <w:vMerge w:val="continue"/>
            <w:tcBorders>
              <w:top w:val="single" w:color="auto" w:sz="4" w:space="0"/>
              <w:left w:val="single" w:color="auto" w:sz="4" w:space="0"/>
              <w:bottom w:val="single" w:color="auto" w:sz="4" w:space="0"/>
              <w:right w:val="single" w:color="auto" w:sz="4" w:space="0"/>
            </w:tcBorders>
            <w:vAlign w:val="center"/>
          </w:tcPr>
          <w:p w14:paraId="3A26E0FF">
            <w:pPr>
              <w:spacing w:line="240" w:lineRule="auto"/>
              <w:jc w:val="left"/>
              <w:rPr>
                <w:kern w:val="2"/>
              </w:rPr>
            </w:pPr>
          </w:p>
        </w:tc>
      </w:tr>
      <w:tr w14:paraId="7AC9F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07" w:type="pct"/>
            <w:tcBorders>
              <w:top w:val="single" w:color="auto" w:sz="4" w:space="0"/>
              <w:left w:val="single" w:color="auto" w:sz="4" w:space="0"/>
              <w:bottom w:val="single" w:color="auto" w:sz="4" w:space="0"/>
              <w:right w:val="single" w:color="auto" w:sz="4" w:space="0"/>
            </w:tcBorders>
            <w:vAlign w:val="center"/>
          </w:tcPr>
          <w:p w14:paraId="0AA48482">
            <w:pPr>
              <w:spacing w:line="240" w:lineRule="auto"/>
              <w:jc w:val="center"/>
              <w:rPr>
                <w:kern w:val="0"/>
              </w:rPr>
            </w:pPr>
            <w:r>
              <w:rPr>
                <w:kern w:val="0"/>
              </w:rPr>
              <w:t>原灰</w:t>
            </w:r>
          </w:p>
        </w:tc>
        <w:tc>
          <w:tcPr>
            <w:tcW w:w="407" w:type="pct"/>
            <w:tcBorders>
              <w:top w:val="single" w:color="auto" w:sz="4" w:space="0"/>
              <w:left w:val="single" w:color="auto" w:sz="4" w:space="0"/>
              <w:bottom w:val="single" w:color="auto" w:sz="4" w:space="0"/>
              <w:right w:val="single" w:color="auto" w:sz="4" w:space="0"/>
            </w:tcBorders>
            <w:vAlign w:val="center"/>
          </w:tcPr>
          <w:p w14:paraId="647C2314">
            <w:pPr>
              <w:spacing w:line="240" w:lineRule="auto"/>
              <w:jc w:val="center"/>
              <w:rPr>
                <w:kern w:val="0"/>
              </w:rPr>
            </w:pPr>
            <w:r>
              <w:rPr>
                <w:kern w:val="0"/>
              </w:rPr>
              <w:t>43.0</w:t>
            </w:r>
          </w:p>
        </w:tc>
        <w:tc>
          <w:tcPr>
            <w:tcW w:w="361" w:type="pct"/>
            <w:tcBorders>
              <w:top w:val="single" w:color="auto" w:sz="4" w:space="0"/>
              <w:left w:val="single" w:color="auto" w:sz="4" w:space="0"/>
              <w:bottom w:val="single" w:color="auto" w:sz="4" w:space="0"/>
              <w:right w:val="single" w:color="auto" w:sz="4" w:space="0"/>
            </w:tcBorders>
            <w:vAlign w:val="center"/>
          </w:tcPr>
          <w:p w14:paraId="095A8FEC">
            <w:pPr>
              <w:spacing w:line="240" w:lineRule="auto"/>
              <w:jc w:val="center"/>
              <w:rPr>
                <w:kern w:val="0"/>
              </w:rPr>
            </w:pPr>
            <w:r>
              <w:rPr>
                <w:kern w:val="0"/>
              </w:rPr>
              <w:t>5.80</w:t>
            </w:r>
          </w:p>
        </w:tc>
        <w:tc>
          <w:tcPr>
            <w:tcW w:w="361" w:type="pct"/>
            <w:tcBorders>
              <w:top w:val="single" w:color="auto" w:sz="4" w:space="0"/>
              <w:left w:val="single" w:color="auto" w:sz="4" w:space="0"/>
              <w:bottom w:val="single" w:color="auto" w:sz="4" w:space="0"/>
              <w:right w:val="single" w:color="auto" w:sz="4" w:space="0"/>
            </w:tcBorders>
            <w:vAlign w:val="center"/>
          </w:tcPr>
          <w:p w14:paraId="724FFDD7">
            <w:pPr>
              <w:spacing w:line="240" w:lineRule="auto"/>
              <w:jc w:val="center"/>
              <w:rPr>
                <w:kern w:val="0"/>
              </w:rPr>
            </w:pPr>
            <w:r>
              <w:rPr>
                <w:kern w:val="0"/>
              </w:rPr>
              <w:t>16.78</w:t>
            </w:r>
          </w:p>
        </w:tc>
        <w:tc>
          <w:tcPr>
            <w:tcW w:w="361" w:type="pct"/>
            <w:tcBorders>
              <w:top w:val="single" w:color="auto" w:sz="4" w:space="0"/>
              <w:left w:val="single" w:color="auto" w:sz="4" w:space="0"/>
              <w:bottom w:val="single" w:color="auto" w:sz="4" w:space="0"/>
              <w:right w:val="single" w:color="auto" w:sz="4" w:space="0"/>
            </w:tcBorders>
            <w:vAlign w:val="center"/>
          </w:tcPr>
          <w:p w14:paraId="01CA0849">
            <w:pPr>
              <w:spacing w:line="240" w:lineRule="auto"/>
              <w:jc w:val="center"/>
              <w:rPr>
                <w:kern w:val="0"/>
              </w:rPr>
            </w:pPr>
            <w:r>
              <w:rPr>
                <w:kern w:val="0"/>
              </w:rPr>
              <w:t>52.96</w:t>
            </w:r>
          </w:p>
        </w:tc>
        <w:tc>
          <w:tcPr>
            <w:tcW w:w="361" w:type="pct"/>
            <w:tcBorders>
              <w:top w:val="single" w:color="auto" w:sz="4" w:space="0"/>
              <w:left w:val="single" w:color="auto" w:sz="4" w:space="0"/>
              <w:bottom w:val="single" w:color="auto" w:sz="4" w:space="0"/>
              <w:right w:val="single" w:color="auto" w:sz="4" w:space="0"/>
            </w:tcBorders>
            <w:vAlign w:val="center"/>
          </w:tcPr>
          <w:p w14:paraId="3EAC90A4">
            <w:pPr>
              <w:spacing w:line="240" w:lineRule="auto"/>
              <w:jc w:val="center"/>
              <w:rPr>
                <w:kern w:val="0"/>
              </w:rPr>
            </w:pPr>
            <w:r>
              <w:rPr>
                <w:kern w:val="0"/>
              </w:rPr>
              <w:t>115.03</w:t>
            </w:r>
          </w:p>
        </w:tc>
        <w:tc>
          <w:tcPr>
            <w:tcW w:w="363" w:type="pct"/>
            <w:tcBorders>
              <w:top w:val="single" w:color="auto" w:sz="4" w:space="0"/>
              <w:left w:val="single" w:color="auto" w:sz="4" w:space="0"/>
              <w:bottom w:val="single" w:color="auto" w:sz="4" w:space="0"/>
              <w:right w:val="single" w:color="auto" w:sz="4" w:space="0"/>
            </w:tcBorders>
            <w:vAlign w:val="center"/>
          </w:tcPr>
          <w:p w14:paraId="7D35BF4A">
            <w:pPr>
              <w:spacing w:line="240" w:lineRule="auto"/>
              <w:jc w:val="center"/>
              <w:rPr>
                <w:kern w:val="0"/>
              </w:rPr>
            </w:pPr>
            <w:r>
              <w:rPr>
                <w:kern w:val="0"/>
              </w:rPr>
              <w:t>195.15</w:t>
            </w:r>
          </w:p>
        </w:tc>
        <w:tc>
          <w:tcPr>
            <w:tcW w:w="371" w:type="pct"/>
            <w:tcBorders>
              <w:top w:val="single" w:color="auto" w:sz="4" w:space="0"/>
              <w:left w:val="single" w:color="auto" w:sz="4" w:space="0"/>
              <w:bottom w:val="single" w:color="auto" w:sz="4" w:space="0"/>
              <w:right w:val="single" w:color="auto" w:sz="4" w:space="0"/>
            </w:tcBorders>
            <w:vAlign w:val="center"/>
          </w:tcPr>
          <w:p w14:paraId="11F87751">
            <w:pPr>
              <w:spacing w:line="240" w:lineRule="auto"/>
              <w:jc w:val="center"/>
              <w:rPr>
                <w:kern w:val="0"/>
              </w:rPr>
            </w:pPr>
            <w:r>
              <w:rPr>
                <w:kern w:val="0"/>
              </w:rPr>
              <w:t>4.43</w:t>
            </w:r>
          </w:p>
        </w:tc>
        <w:tc>
          <w:tcPr>
            <w:tcW w:w="371" w:type="pct"/>
            <w:tcBorders>
              <w:top w:val="single" w:color="auto" w:sz="4" w:space="0"/>
              <w:left w:val="single" w:color="auto" w:sz="4" w:space="0"/>
              <w:bottom w:val="single" w:color="auto" w:sz="4" w:space="0"/>
              <w:right w:val="single" w:color="auto" w:sz="4" w:space="0"/>
            </w:tcBorders>
            <w:vAlign w:val="center"/>
          </w:tcPr>
          <w:p w14:paraId="0406149A">
            <w:pPr>
              <w:spacing w:line="240" w:lineRule="auto"/>
              <w:jc w:val="center"/>
              <w:rPr>
                <w:kern w:val="0"/>
              </w:rPr>
            </w:pPr>
            <w:r>
              <w:rPr>
                <w:kern w:val="0"/>
              </w:rPr>
              <w:t>37.73</w:t>
            </w:r>
          </w:p>
        </w:tc>
        <w:tc>
          <w:tcPr>
            <w:tcW w:w="371" w:type="pct"/>
            <w:tcBorders>
              <w:top w:val="single" w:color="auto" w:sz="4" w:space="0"/>
              <w:left w:val="single" w:color="auto" w:sz="4" w:space="0"/>
              <w:bottom w:val="single" w:color="auto" w:sz="4" w:space="0"/>
              <w:right w:val="single" w:color="auto" w:sz="4" w:space="0"/>
            </w:tcBorders>
            <w:vAlign w:val="center"/>
          </w:tcPr>
          <w:p w14:paraId="785117EE">
            <w:pPr>
              <w:spacing w:line="240" w:lineRule="auto"/>
              <w:jc w:val="center"/>
              <w:rPr>
                <w:kern w:val="0"/>
              </w:rPr>
            </w:pPr>
            <w:r>
              <w:rPr>
                <w:kern w:val="0"/>
              </w:rPr>
              <w:t>45.82</w:t>
            </w:r>
          </w:p>
        </w:tc>
        <w:tc>
          <w:tcPr>
            <w:tcW w:w="372" w:type="pct"/>
            <w:tcBorders>
              <w:top w:val="single" w:color="auto" w:sz="4" w:space="0"/>
              <w:left w:val="single" w:color="auto" w:sz="4" w:space="0"/>
              <w:bottom w:val="single" w:color="auto" w:sz="4" w:space="0"/>
              <w:right w:val="single" w:color="auto" w:sz="4" w:space="0"/>
            </w:tcBorders>
            <w:vAlign w:val="center"/>
          </w:tcPr>
          <w:p w14:paraId="5A100A4F">
            <w:pPr>
              <w:spacing w:line="240" w:lineRule="auto"/>
              <w:jc w:val="center"/>
              <w:rPr>
                <w:kern w:val="0"/>
              </w:rPr>
            </w:pPr>
            <w:r>
              <w:rPr>
                <w:kern w:val="0"/>
              </w:rPr>
              <w:t>63.05</w:t>
            </w:r>
          </w:p>
        </w:tc>
        <w:tc>
          <w:tcPr>
            <w:tcW w:w="413" w:type="pct"/>
            <w:tcBorders>
              <w:top w:val="single" w:color="auto" w:sz="4" w:space="0"/>
              <w:left w:val="single" w:color="auto" w:sz="4" w:space="0"/>
              <w:bottom w:val="single" w:color="auto" w:sz="4" w:space="0"/>
              <w:right w:val="single" w:color="auto" w:sz="4" w:space="0"/>
            </w:tcBorders>
            <w:vAlign w:val="center"/>
          </w:tcPr>
          <w:p w14:paraId="3468547D">
            <w:pPr>
              <w:spacing w:line="240" w:lineRule="auto"/>
              <w:jc w:val="center"/>
              <w:rPr>
                <w:kern w:val="0"/>
              </w:rPr>
            </w:pPr>
            <w:r>
              <w:rPr>
                <w:kern w:val="0"/>
              </w:rPr>
              <w:t>3.575</w:t>
            </w:r>
          </w:p>
        </w:tc>
        <w:tc>
          <w:tcPr>
            <w:tcW w:w="381" w:type="pct"/>
            <w:tcBorders>
              <w:top w:val="single" w:color="auto" w:sz="4" w:space="0"/>
              <w:left w:val="single" w:color="auto" w:sz="4" w:space="0"/>
              <w:bottom w:val="single" w:color="auto" w:sz="4" w:space="0"/>
              <w:right w:val="single" w:color="auto" w:sz="4" w:space="0"/>
            </w:tcBorders>
            <w:vAlign w:val="center"/>
          </w:tcPr>
          <w:p w14:paraId="217E0672">
            <w:pPr>
              <w:spacing w:line="240" w:lineRule="auto"/>
              <w:jc w:val="center"/>
              <w:rPr>
                <w:kern w:val="0"/>
              </w:rPr>
            </w:pPr>
            <w:r>
              <w:rPr>
                <w:kern w:val="0"/>
              </w:rPr>
              <w:t>0.837</w:t>
            </w:r>
          </w:p>
        </w:tc>
      </w:tr>
      <w:tr w14:paraId="74AA8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07" w:type="pct"/>
            <w:tcBorders>
              <w:top w:val="single" w:color="auto" w:sz="4" w:space="0"/>
              <w:left w:val="single" w:color="auto" w:sz="4" w:space="0"/>
              <w:bottom w:val="single" w:color="auto" w:sz="4" w:space="0"/>
              <w:right w:val="single" w:color="auto" w:sz="4" w:space="0"/>
            </w:tcBorders>
            <w:vAlign w:val="center"/>
          </w:tcPr>
          <w:p w14:paraId="3230CD92">
            <w:pPr>
              <w:spacing w:line="240" w:lineRule="auto"/>
              <w:jc w:val="center"/>
              <w:rPr>
                <w:kern w:val="0"/>
              </w:rPr>
            </w:pPr>
            <w:r>
              <w:rPr>
                <w:kern w:val="0"/>
              </w:rPr>
              <w:t>物理改性粉煤灰</w:t>
            </w:r>
          </w:p>
        </w:tc>
        <w:tc>
          <w:tcPr>
            <w:tcW w:w="407" w:type="pct"/>
            <w:tcBorders>
              <w:top w:val="single" w:color="auto" w:sz="4" w:space="0"/>
              <w:left w:val="single" w:color="auto" w:sz="4" w:space="0"/>
              <w:bottom w:val="single" w:color="auto" w:sz="4" w:space="0"/>
              <w:right w:val="single" w:color="auto" w:sz="4" w:space="0"/>
            </w:tcBorders>
            <w:vAlign w:val="center"/>
          </w:tcPr>
          <w:p w14:paraId="154B171C">
            <w:pPr>
              <w:spacing w:line="240" w:lineRule="auto"/>
              <w:jc w:val="center"/>
              <w:rPr>
                <w:kern w:val="0"/>
              </w:rPr>
            </w:pPr>
            <w:r>
              <w:rPr>
                <w:kern w:val="0"/>
              </w:rPr>
              <w:t>5.4</w:t>
            </w:r>
          </w:p>
        </w:tc>
        <w:tc>
          <w:tcPr>
            <w:tcW w:w="361" w:type="pct"/>
            <w:tcBorders>
              <w:top w:val="single" w:color="auto" w:sz="4" w:space="0"/>
              <w:left w:val="single" w:color="auto" w:sz="4" w:space="0"/>
              <w:bottom w:val="single" w:color="auto" w:sz="4" w:space="0"/>
              <w:right w:val="single" w:color="auto" w:sz="4" w:space="0"/>
            </w:tcBorders>
            <w:vAlign w:val="center"/>
          </w:tcPr>
          <w:p w14:paraId="7CC24211">
            <w:pPr>
              <w:spacing w:line="240" w:lineRule="auto"/>
              <w:jc w:val="center"/>
              <w:rPr>
                <w:kern w:val="0"/>
              </w:rPr>
            </w:pPr>
            <w:r>
              <w:rPr>
                <w:kern w:val="0"/>
              </w:rPr>
              <w:t>2.02</w:t>
            </w:r>
          </w:p>
        </w:tc>
        <w:tc>
          <w:tcPr>
            <w:tcW w:w="361" w:type="pct"/>
            <w:tcBorders>
              <w:top w:val="single" w:color="auto" w:sz="4" w:space="0"/>
              <w:left w:val="single" w:color="auto" w:sz="4" w:space="0"/>
              <w:bottom w:val="single" w:color="auto" w:sz="4" w:space="0"/>
              <w:right w:val="single" w:color="auto" w:sz="4" w:space="0"/>
            </w:tcBorders>
            <w:vAlign w:val="center"/>
          </w:tcPr>
          <w:p w14:paraId="436D8F85">
            <w:pPr>
              <w:spacing w:line="240" w:lineRule="auto"/>
              <w:jc w:val="center"/>
              <w:rPr>
                <w:kern w:val="0"/>
              </w:rPr>
            </w:pPr>
            <w:r>
              <w:rPr>
                <w:kern w:val="0"/>
              </w:rPr>
              <w:t>4.50</w:t>
            </w:r>
          </w:p>
        </w:tc>
        <w:tc>
          <w:tcPr>
            <w:tcW w:w="361" w:type="pct"/>
            <w:tcBorders>
              <w:top w:val="single" w:color="auto" w:sz="4" w:space="0"/>
              <w:left w:val="single" w:color="auto" w:sz="4" w:space="0"/>
              <w:bottom w:val="single" w:color="auto" w:sz="4" w:space="0"/>
              <w:right w:val="single" w:color="auto" w:sz="4" w:space="0"/>
            </w:tcBorders>
            <w:vAlign w:val="center"/>
          </w:tcPr>
          <w:p w14:paraId="5D27B935">
            <w:pPr>
              <w:spacing w:line="240" w:lineRule="auto"/>
              <w:jc w:val="center"/>
              <w:rPr>
                <w:kern w:val="0"/>
              </w:rPr>
            </w:pPr>
            <w:r>
              <w:rPr>
                <w:kern w:val="0"/>
              </w:rPr>
              <w:t>10.55</w:t>
            </w:r>
          </w:p>
        </w:tc>
        <w:tc>
          <w:tcPr>
            <w:tcW w:w="361" w:type="pct"/>
            <w:tcBorders>
              <w:top w:val="single" w:color="auto" w:sz="4" w:space="0"/>
              <w:left w:val="single" w:color="auto" w:sz="4" w:space="0"/>
              <w:bottom w:val="single" w:color="auto" w:sz="4" w:space="0"/>
              <w:right w:val="single" w:color="auto" w:sz="4" w:space="0"/>
            </w:tcBorders>
            <w:vAlign w:val="center"/>
          </w:tcPr>
          <w:p w14:paraId="57F90290">
            <w:pPr>
              <w:spacing w:line="240" w:lineRule="auto"/>
              <w:jc w:val="center"/>
              <w:rPr>
                <w:kern w:val="0"/>
              </w:rPr>
            </w:pPr>
            <w:r>
              <w:rPr>
                <w:kern w:val="0"/>
              </w:rPr>
              <w:t>23.37</w:t>
            </w:r>
          </w:p>
        </w:tc>
        <w:tc>
          <w:tcPr>
            <w:tcW w:w="363" w:type="pct"/>
            <w:tcBorders>
              <w:top w:val="single" w:color="auto" w:sz="4" w:space="0"/>
              <w:left w:val="single" w:color="auto" w:sz="4" w:space="0"/>
              <w:bottom w:val="single" w:color="auto" w:sz="4" w:space="0"/>
              <w:right w:val="single" w:color="auto" w:sz="4" w:space="0"/>
            </w:tcBorders>
            <w:vAlign w:val="center"/>
          </w:tcPr>
          <w:p w14:paraId="06E44620">
            <w:pPr>
              <w:spacing w:line="240" w:lineRule="auto"/>
              <w:jc w:val="center"/>
              <w:rPr>
                <w:kern w:val="0"/>
              </w:rPr>
            </w:pPr>
            <w:r>
              <w:rPr>
                <w:kern w:val="0"/>
              </w:rPr>
              <w:t>45.98</w:t>
            </w:r>
          </w:p>
        </w:tc>
        <w:tc>
          <w:tcPr>
            <w:tcW w:w="371" w:type="pct"/>
            <w:tcBorders>
              <w:top w:val="single" w:color="auto" w:sz="4" w:space="0"/>
              <w:left w:val="single" w:color="auto" w:sz="4" w:space="0"/>
              <w:bottom w:val="single" w:color="auto" w:sz="4" w:space="0"/>
              <w:right w:val="single" w:color="auto" w:sz="4" w:space="0"/>
            </w:tcBorders>
            <w:vAlign w:val="center"/>
          </w:tcPr>
          <w:p w14:paraId="7E62FE1B">
            <w:pPr>
              <w:spacing w:line="240" w:lineRule="auto"/>
              <w:jc w:val="center"/>
              <w:rPr>
                <w:kern w:val="0"/>
              </w:rPr>
            </w:pPr>
            <w:r>
              <w:rPr>
                <w:kern w:val="0"/>
              </w:rPr>
              <w:t>16.17</w:t>
            </w:r>
          </w:p>
        </w:tc>
        <w:tc>
          <w:tcPr>
            <w:tcW w:w="371" w:type="pct"/>
            <w:tcBorders>
              <w:top w:val="single" w:color="auto" w:sz="4" w:space="0"/>
              <w:left w:val="single" w:color="auto" w:sz="4" w:space="0"/>
              <w:bottom w:val="single" w:color="auto" w:sz="4" w:space="0"/>
              <w:right w:val="single" w:color="auto" w:sz="4" w:space="0"/>
            </w:tcBorders>
            <w:vAlign w:val="center"/>
          </w:tcPr>
          <w:p w14:paraId="36BB52C3">
            <w:pPr>
              <w:spacing w:line="240" w:lineRule="auto"/>
              <w:jc w:val="center"/>
              <w:rPr>
                <w:kern w:val="0"/>
              </w:rPr>
            </w:pPr>
            <w:r>
              <w:rPr>
                <w:kern w:val="0"/>
              </w:rPr>
              <w:t>83.25</w:t>
            </w:r>
          </w:p>
        </w:tc>
        <w:tc>
          <w:tcPr>
            <w:tcW w:w="371" w:type="pct"/>
            <w:tcBorders>
              <w:top w:val="single" w:color="auto" w:sz="4" w:space="0"/>
              <w:left w:val="single" w:color="auto" w:sz="4" w:space="0"/>
              <w:bottom w:val="single" w:color="auto" w:sz="4" w:space="0"/>
              <w:right w:val="single" w:color="auto" w:sz="4" w:space="0"/>
            </w:tcBorders>
            <w:vAlign w:val="center"/>
          </w:tcPr>
          <w:p w14:paraId="4B62CD8B">
            <w:pPr>
              <w:spacing w:line="240" w:lineRule="auto"/>
              <w:jc w:val="center"/>
              <w:rPr>
                <w:kern w:val="0"/>
              </w:rPr>
            </w:pPr>
            <w:r>
              <w:rPr>
                <w:kern w:val="0"/>
              </w:rPr>
              <w:t>89.94</w:t>
            </w:r>
          </w:p>
        </w:tc>
        <w:tc>
          <w:tcPr>
            <w:tcW w:w="372" w:type="pct"/>
            <w:tcBorders>
              <w:top w:val="single" w:color="auto" w:sz="4" w:space="0"/>
              <w:left w:val="single" w:color="auto" w:sz="4" w:space="0"/>
              <w:bottom w:val="single" w:color="auto" w:sz="4" w:space="0"/>
              <w:right w:val="single" w:color="auto" w:sz="4" w:space="0"/>
            </w:tcBorders>
            <w:vAlign w:val="center"/>
          </w:tcPr>
          <w:p w14:paraId="28742B02">
            <w:pPr>
              <w:spacing w:line="240" w:lineRule="auto"/>
              <w:jc w:val="center"/>
              <w:rPr>
                <w:kern w:val="0"/>
              </w:rPr>
            </w:pPr>
            <w:r>
              <w:rPr>
                <w:kern w:val="0"/>
              </w:rPr>
              <w:t>96.84</w:t>
            </w:r>
          </w:p>
        </w:tc>
        <w:tc>
          <w:tcPr>
            <w:tcW w:w="413" w:type="pct"/>
            <w:tcBorders>
              <w:top w:val="single" w:color="auto" w:sz="4" w:space="0"/>
              <w:left w:val="single" w:color="auto" w:sz="4" w:space="0"/>
              <w:bottom w:val="single" w:color="auto" w:sz="4" w:space="0"/>
              <w:right w:val="single" w:color="auto" w:sz="4" w:space="0"/>
            </w:tcBorders>
            <w:vAlign w:val="center"/>
          </w:tcPr>
          <w:p w14:paraId="0BA2B995">
            <w:pPr>
              <w:spacing w:line="240" w:lineRule="auto"/>
              <w:jc w:val="center"/>
              <w:rPr>
                <w:kern w:val="0"/>
              </w:rPr>
            </w:pPr>
            <w:r>
              <w:rPr>
                <w:kern w:val="0"/>
              </w:rPr>
              <w:t>4.163</w:t>
            </w:r>
          </w:p>
        </w:tc>
        <w:tc>
          <w:tcPr>
            <w:tcW w:w="381" w:type="pct"/>
            <w:tcBorders>
              <w:top w:val="single" w:color="auto" w:sz="4" w:space="0"/>
              <w:left w:val="single" w:color="auto" w:sz="4" w:space="0"/>
              <w:bottom w:val="single" w:color="auto" w:sz="4" w:space="0"/>
              <w:right w:val="single" w:color="auto" w:sz="4" w:space="0"/>
            </w:tcBorders>
            <w:vAlign w:val="center"/>
          </w:tcPr>
          <w:p w14:paraId="7CB63209">
            <w:pPr>
              <w:spacing w:line="240" w:lineRule="auto"/>
              <w:jc w:val="center"/>
              <w:rPr>
                <w:kern w:val="0"/>
              </w:rPr>
            </w:pPr>
            <w:r>
              <w:rPr>
                <w:kern w:val="0"/>
              </w:rPr>
              <w:t>0.976</w:t>
            </w:r>
          </w:p>
        </w:tc>
      </w:tr>
      <w:tr w14:paraId="2E91B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07" w:type="pct"/>
            <w:tcBorders>
              <w:top w:val="single" w:color="auto" w:sz="4" w:space="0"/>
              <w:left w:val="single" w:color="auto" w:sz="4" w:space="0"/>
              <w:bottom w:val="single" w:color="auto" w:sz="4" w:space="0"/>
              <w:right w:val="single" w:color="auto" w:sz="4" w:space="0"/>
            </w:tcBorders>
            <w:vAlign w:val="center"/>
          </w:tcPr>
          <w:p w14:paraId="4D853F10">
            <w:pPr>
              <w:spacing w:line="240" w:lineRule="auto"/>
              <w:jc w:val="center"/>
              <w:rPr>
                <w:kern w:val="0"/>
              </w:rPr>
            </w:pPr>
            <w:r>
              <w:rPr>
                <w:kern w:val="0"/>
              </w:rPr>
              <w:t>I级粉煤灰</w:t>
            </w:r>
          </w:p>
        </w:tc>
        <w:tc>
          <w:tcPr>
            <w:tcW w:w="407" w:type="pct"/>
            <w:tcBorders>
              <w:top w:val="single" w:color="auto" w:sz="4" w:space="0"/>
              <w:left w:val="single" w:color="auto" w:sz="4" w:space="0"/>
              <w:bottom w:val="single" w:color="auto" w:sz="4" w:space="0"/>
              <w:right w:val="single" w:color="auto" w:sz="4" w:space="0"/>
            </w:tcBorders>
            <w:vAlign w:val="center"/>
          </w:tcPr>
          <w:p w14:paraId="0BD135FD">
            <w:pPr>
              <w:spacing w:line="240" w:lineRule="auto"/>
              <w:jc w:val="center"/>
              <w:rPr>
                <w:kern w:val="0"/>
              </w:rPr>
            </w:pPr>
            <w:r>
              <w:rPr>
                <w:kern w:val="0"/>
              </w:rPr>
              <w:t>5.2</w:t>
            </w:r>
          </w:p>
        </w:tc>
        <w:tc>
          <w:tcPr>
            <w:tcW w:w="361" w:type="pct"/>
            <w:tcBorders>
              <w:top w:val="single" w:color="auto" w:sz="4" w:space="0"/>
              <w:left w:val="single" w:color="auto" w:sz="4" w:space="0"/>
              <w:bottom w:val="single" w:color="auto" w:sz="4" w:space="0"/>
              <w:right w:val="single" w:color="auto" w:sz="4" w:space="0"/>
            </w:tcBorders>
            <w:vAlign w:val="center"/>
          </w:tcPr>
          <w:p w14:paraId="7410D0F9">
            <w:pPr>
              <w:spacing w:line="240" w:lineRule="auto"/>
              <w:jc w:val="center"/>
              <w:rPr>
                <w:kern w:val="0"/>
              </w:rPr>
            </w:pPr>
            <w:r>
              <w:rPr>
                <w:kern w:val="0"/>
              </w:rPr>
              <w:t>2.79</w:t>
            </w:r>
          </w:p>
        </w:tc>
        <w:tc>
          <w:tcPr>
            <w:tcW w:w="361" w:type="pct"/>
            <w:tcBorders>
              <w:top w:val="single" w:color="auto" w:sz="4" w:space="0"/>
              <w:left w:val="single" w:color="auto" w:sz="4" w:space="0"/>
              <w:bottom w:val="single" w:color="auto" w:sz="4" w:space="0"/>
              <w:right w:val="single" w:color="auto" w:sz="4" w:space="0"/>
            </w:tcBorders>
            <w:vAlign w:val="center"/>
          </w:tcPr>
          <w:p w14:paraId="442DC4C9">
            <w:pPr>
              <w:spacing w:line="240" w:lineRule="auto"/>
              <w:jc w:val="center"/>
              <w:rPr>
                <w:kern w:val="0"/>
              </w:rPr>
            </w:pPr>
            <w:r>
              <w:rPr>
                <w:kern w:val="0"/>
              </w:rPr>
              <w:t>5.41</w:t>
            </w:r>
          </w:p>
        </w:tc>
        <w:tc>
          <w:tcPr>
            <w:tcW w:w="361" w:type="pct"/>
            <w:tcBorders>
              <w:top w:val="single" w:color="auto" w:sz="4" w:space="0"/>
              <w:left w:val="single" w:color="auto" w:sz="4" w:space="0"/>
              <w:bottom w:val="single" w:color="auto" w:sz="4" w:space="0"/>
              <w:right w:val="single" w:color="auto" w:sz="4" w:space="0"/>
            </w:tcBorders>
            <w:vAlign w:val="center"/>
          </w:tcPr>
          <w:p w14:paraId="2AE33541">
            <w:pPr>
              <w:spacing w:line="240" w:lineRule="auto"/>
              <w:jc w:val="center"/>
              <w:rPr>
                <w:kern w:val="0"/>
              </w:rPr>
            </w:pPr>
            <w:r>
              <w:rPr>
                <w:kern w:val="0"/>
              </w:rPr>
              <w:t>11.17</w:t>
            </w:r>
          </w:p>
        </w:tc>
        <w:tc>
          <w:tcPr>
            <w:tcW w:w="361" w:type="pct"/>
            <w:tcBorders>
              <w:top w:val="single" w:color="auto" w:sz="4" w:space="0"/>
              <w:left w:val="single" w:color="auto" w:sz="4" w:space="0"/>
              <w:bottom w:val="single" w:color="auto" w:sz="4" w:space="0"/>
              <w:right w:val="single" w:color="auto" w:sz="4" w:space="0"/>
            </w:tcBorders>
            <w:vAlign w:val="center"/>
          </w:tcPr>
          <w:p w14:paraId="697EB71B">
            <w:pPr>
              <w:spacing w:line="240" w:lineRule="auto"/>
              <w:jc w:val="center"/>
              <w:rPr>
                <w:kern w:val="0"/>
              </w:rPr>
            </w:pPr>
            <w:r>
              <w:rPr>
                <w:kern w:val="0"/>
              </w:rPr>
              <w:t>23.23</w:t>
            </w:r>
          </w:p>
        </w:tc>
        <w:tc>
          <w:tcPr>
            <w:tcW w:w="363" w:type="pct"/>
            <w:tcBorders>
              <w:top w:val="single" w:color="auto" w:sz="4" w:space="0"/>
              <w:left w:val="single" w:color="auto" w:sz="4" w:space="0"/>
              <w:bottom w:val="single" w:color="auto" w:sz="4" w:space="0"/>
              <w:right w:val="single" w:color="auto" w:sz="4" w:space="0"/>
            </w:tcBorders>
            <w:vAlign w:val="center"/>
          </w:tcPr>
          <w:p w14:paraId="3D43855D">
            <w:pPr>
              <w:spacing w:line="240" w:lineRule="auto"/>
              <w:jc w:val="center"/>
              <w:rPr>
                <w:kern w:val="0"/>
              </w:rPr>
            </w:pPr>
            <w:r>
              <w:rPr>
                <w:kern w:val="0"/>
              </w:rPr>
              <w:t>44.08</w:t>
            </w:r>
          </w:p>
        </w:tc>
        <w:tc>
          <w:tcPr>
            <w:tcW w:w="371" w:type="pct"/>
            <w:tcBorders>
              <w:top w:val="single" w:color="auto" w:sz="4" w:space="0"/>
              <w:left w:val="single" w:color="auto" w:sz="4" w:space="0"/>
              <w:bottom w:val="single" w:color="auto" w:sz="4" w:space="0"/>
              <w:right w:val="single" w:color="auto" w:sz="4" w:space="0"/>
            </w:tcBorders>
            <w:vAlign w:val="center"/>
          </w:tcPr>
          <w:p w14:paraId="6260129B">
            <w:pPr>
              <w:spacing w:line="240" w:lineRule="auto"/>
              <w:jc w:val="center"/>
              <w:rPr>
                <w:kern w:val="0"/>
              </w:rPr>
            </w:pPr>
            <w:r>
              <w:rPr>
                <w:kern w:val="0"/>
              </w:rPr>
              <w:t>11.25</w:t>
            </w:r>
          </w:p>
        </w:tc>
        <w:tc>
          <w:tcPr>
            <w:tcW w:w="371" w:type="pct"/>
            <w:tcBorders>
              <w:top w:val="single" w:color="auto" w:sz="4" w:space="0"/>
              <w:left w:val="single" w:color="auto" w:sz="4" w:space="0"/>
              <w:bottom w:val="single" w:color="auto" w:sz="4" w:space="0"/>
              <w:right w:val="single" w:color="auto" w:sz="4" w:space="0"/>
            </w:tcBorders>
            <w:vAlign w:val="center"/>
          </w:tcPr>
          <w:p w14:paraId="1AB6ABA3">
            <w:pPr>
              <w:spacing w:line="240" w:lineRule="auto"/>
              <w:jc w:val="center"/>
              <w:rPr>
                <w:kern w:val="0"/>
              </w:rPr>
            </w:pPr>
            <w:r>
              <w:rPr>
                <w:kern w:val="0"/>
              </w:rPr>
              <w:t>83.51</w:t>
            </w:r>
          </w:p>
        </w:tc>
        <w:tc>
          <w:tcPr>
            <w:tcW w:w="371" w:type="pct"/>
            <w:tcBorders>
              <w:top w:val="single" w:color="auto" w:sz="4" w:space="0"/>
              <w:left w:val="single" w:color="auto" w:sz="4" w:space="0"/>
              <w:bottom w:val="single" w:color="auto" w:sz="4" w:space="0"/>
              <w:right w:val="single" w:color="auto" w:sz="4" w:space="0"/>
            </w:tcBorders>
            <w:vAlign w:val="center"/>
          </w:tcPr>
          <w:p w14:paraId="6CE35232">
            <w:pPr>
              <w:spacing w:line="240" w:lineRule="auto"/>
              <w:jc w:val="center"/>
              <w:rPr>
                <w:kern w:val="0"/>
              </w:rPr>
            </w:pPr>
            <w:r>
              <w:rPr>
                <w:kern w:val="0"/>
              </w:rPr>
              <w:t>90.47</w:t>
            </w:r>
          </w:p>
        </w:tc>
        <w:tc>
          <w:tcPr>
            <w:tcW w:w="372" w:type="pct"/>
            <w:tcBorders>
              <w:top w:val="single" w:color="auto" w:sz="4" w:space="0"/>
              <w:left w:val="single" w:color="auto" w:sz="4" w:space="0"/>
              <w:bottom w:val="single" w:color="auto" w:sz="4" w:space="0"/>
              <w:right w:val="single" w:color="auto" w:sz="4" w:space="0"/>
            </w:tcBorders>
            <w:vAlign w:val="center"/>
          </w:tcPr>
          <w:p w14:paraId="67D53B07">
            <w:pPr>
              <w:spacing w:line="240" w:lineRule="auto"/>
              <w:jc w:val="center"/>
              <w:rPr>
                <w:kern w:val="0"/>
              </w:rPr>
            </w:pPr>
            <w:r>
              <w:rPr>
                <w:kern w:val="0"/>
              </w:rPr>
              <w:t>97.31</w:t>
            </w:r>
          </w:p>
        </w:tc>
        <w:tc>
          <w:tcPr>
            <w:tcW w:w="413" w:type="pct"/>
            <w:tcBorders>
              <w:top w:val="single" w:color="auto" w:sz="4" w:space="0"/>
              <w:left w:val="single" w:color="auto" w:sz="4" w:space="0"/>
              <w:bottom w:val="single" w:color="auto" w:sz="4" w:space="0"/>
              <w:right w:val="single" w:color="auto" w:sz="4" w:space="0"/>
            </w:tcBorders>
            <w:vAlign w:val="center"/>
          </w:tcPr>
          <w:p w14:paraId="7A4666E9">
            <w:pPr>
              <w:spacing w:line="240" w:lineRule="auto"/>
              <w:jc w:val="center"/>
              <w:rPr>
                <w:kern w:val="0"/>
              </w:rPr>
            </w:pPr>
            <w:r>
              <w:rPr>
                <w:kern w:val="0"/>
              </w:rPr>
              <w:t>3.696</w:t>
            </w:r>
          </w:p>
        </w:tc>
        <w:tc>
          <w:tcPr>
            <w:tcW w:w="381" w:type="pct"/>
            <w:tcBorders>
              <w:top w:val="single" w:color="auto" w:sz="4" w:space="0"/>
              <w:left w:val="single" w:color="auto" w:sz="4" w:space="0"/>
              <w:bottom w:val="single" w:color="auto" w:sz="4" w:space="0"/>
              <w:right w:val="single" w:color="auto" w:sz="4" w:space="0"/>
            </w:tcBorders>
            <w:vAlign w:val="center"/>
          </w:tcPr>
          <w:p w14:paraId="79E70402">
            <w:pPr>
              <w:spacing w:line="240" w:lineRule="auto"/>
              <w:jc w:val="center"/>
              <w:rPr>
                <w:kern w:val="0"/>
              </w:rPr>
            </w:pPr>
            <w:r>
              <w:rPr>
                <w:kern w:val="0"/>
              </w:rPr>
              <w:t>1.107</w:t>
            </w:r>
          </w:p>
        </w:tc>
      </w:tr>
      <w:tr w14:paraId="4C57D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07" w:type="pct"/>
            <w:tcBorders>
              <w:top w:val="single" w:color="auto" w:sz="4" w:space="0"/>
              <w:left w:val="single" w:color="auto" w:sz="4" w:space="0"/>
              <w:bottom w:val="single" w:color="auto" w:sz="4" w:space="0"/>
              <w:right w:val="single" w:color="auto" w:sz="4" w:space="0"/>
            </w:tcBorders>
            <w:vAlign w:val="center"/>
          </w:tcPr>
          <w:p w14:paraId="27C8C60A">
            <w:pPr>
              <w:spacing w:line="240" w:lineRule="auto"/>
              <w:jc w:val="center"/>
              <w:rPr>
                <w:kern w:val="0"/>
              </w:rPr>
            </w:pPr>
            <w:r>
              <w:rPr>
                <w:kern w:val="0"/>
              </w:rPr>
              <w:t>水泥</w:t>
            </w:r>
          </w:p>
        </w:tc>
        <w:tc>
          <w:tcPr>
            <w:tcW w:w="407" w:type="pct"/>
            <w:tcBorders>
              <w:top w:val="single" w:color="auto" w:sz="4" w:space="0"/>
              <w:left w:val="single" w:color="auto" w:sz="4" w:space="0"/>
              <w:bottom w:val="single" w:color="auto" w:sz="4" w:space="0"/>
              <w:right w:val="single" w:color="auto" w:sz="4" w:space="0"/>
            </w:tcBorders>
            <w:vAlign w:val="center"/>
          </w:tcPr>
          <w:p w14:paraId="5C622DEB">
            <w:pPr>
              <w:spacing w:line="240" w:lineRule="auto"/>
              <w:jc w:val="center"/>
              <w:rPr>
                <w:kern w:val="0"/>
              </w:rPr>
            </w:pPr>
            <w:r>
              <w:rPr>
                <w:kern w:val="0"/>
              </w:rPr>
              <w:t>/</w:t>
            </w:r>
          </w:p>
        </w:tc>
        <w:tc>
          <w:tcPr>
            <w:tcW w:w="361" w:type="pct"/>
            <w:tcBorders>
              <w:top w:val="single" w:color="auto" w:sz="4" w:space="0"/>
              <w:left w:val="single" w:color="auto" w:sz="4" w:space="0"/>
              <w:bottom w:val="single" w:color="auto" w:sz="4" w:space="0"/>
              <w:right w:val="single" w:color="auto" w:sz="4" w:space="0"/>
            </w:tcBorders>
            <w:vAlign w:val="center"/>
          </w:tcPr>
          <w:p w14:paraId="3D888ABB">
            <w:pPr>
              <w:spacing w:line="240" w:lineRule="auto"/>
              <w:jc w:val="center"/>
              <w:rPr>
                <w:kern w:val="0"/>
              </w:rPr>
            </w:pPr>
            <w:r>
              <w:rPr>
                <w:kern w:val="0"/>
              </w:rPr>
              <w:t>2.55</w:t>
            </w:r>
          </w:p>
        </w:tc>
        <w:tc>
          <w:tcPr>
            <w:tcW w:w="361" w:type="pct"/>
            <w:tcBorders>
              <w:top w:val="single" w:color="auto" w:sz="4" w:space="0"/>
              <w:left w:val="single" w:color="auto" w:sz="4" w:space="0"/>
              <w:bottom w:val="single" w:color="auto" w:sz="4" w:space="0"/>
              <w:right w:val="single" w:color="auto" w:sz="4" w:space="0"/>
            </w:tcBorders>
            <w:vAlign w:val="center"/>
          </w:tcPr>
          <w:p w14:paraId="3A3EF32A">
            <w:pPr>
              <w:spacing w:line="240" w:lineRule="auto"/>
              <w:jc w:val="center"/>
              <w:rPr>
                <w:kern w:val="0"/>
              </w:rPr>
            </w:pPr>
            <w:r>
              <w:rPr>
                <w:kern w:val="0"/>
              </w:rPr>
              <w:t>5.90</w:t>
            </w:r>
          </w:p>
        </w:tc>
        <w:tc>
          <w:tcPr>
            <w:tcW w:w="361" w:type="pct"/>
            <w:tcBorders>
              <w:top w:val="single" w:color="auto" w:sz="4" w:space="0"/>
              <w:left w:val="single" w:color="auto" w:sz="4" w:space="0"/>
              <w:bottom w:val="single" w:color="auto" w:sz="4" w:space="0"/>
              <w:right w:val="single" w:color="auto" w:sz="4" w:space="0"/>
            </w:tcBorders>
            <w:vAlign w:val="center"/>
          </w:tcPr>
          <w:p w14:paraId="1C0353D3">
            <w:pPr>
              <w:spacing w:line="240" w:lineRule="auto"/>
              <w:jc w:val="center"/>
              <w:rPr>
                <w:kern w:val="0"/>
              </w:rPr>
            </w:pPr>
            <w:r>
              <w:rPr>
                <w:kern w:val="0"/>
              </w:rPr>
              <w:t>15.23</w:t>
            </w:r>
          </w:p>
        </w:tc>
        <w:tc>
          <w:tcPr>
            <w:tcW w:w="361" w:type="pct"/>
            <w:tcBorders>
              <w:top w:val="single" w:color="auto" w:sz="4" w:space="0"/>
              <w:left w:val="single" w:color="auto" w:sz="4" w:space="0"/>
              <w:bottom w:val="single" w:color="auto" w:sz="4" w:space="0"/>
              <w:right w:val="single" w:color="auto" w:sz="4" w:space="0"/>
            </w:tcBorders>
            <w:vAlign w:val="center"/>
          </w:tcPr>
          <w:p w14:paraId="46B376A8">
            <w:pPr>
              <w:spacing w:line="240" w:lineRule="auto"/>
              <w:jc w:val="center"/>
              <w:rPr>
                <w:kern w:val="0"/>
              </w:rPr>
            </w:pPr>
            <w:r>
              <w:rPr>
                <w:kern w:val="0"/>
              </w:rPr>
              <w:t>31.84</w:t>
            </w:r>
          </w:p>
        </w:tc>
        <w:tc>
          <w:tcPr>
            <w:tcW w:w="363" w:type="pct"/>
            <w:tcBorders>
              <w:top w:val="single" w:color="auto" w:sz="4" w:space="0"/>
              <w:left w:val="single" w:color="auto" w:sz="4" w:space="0"/>
              <w:bottom w:val="single" w:color="auto" w:sz="4" w:space="0"/>
              <w:right w:val="single" w:color="auto" w:sz="4" w:space="0"/>
            </w:tcBorders>
            <w:vAlign w:val="center"/>
          </w:tcPr>
          <w:p w14:paraId="6DDBDCED">
            <w:pPr>
              <w:spacing w:line="240" w:lineRule="auto"/>
              <w:jc w:val="center"/>
              <w:rPr>
                <w:kern w:val="0"/>
              </w:rPr>
            </w:pPr>
            <w:r>
              <w:rPr>
                <w:kern w:val="0"/>
              </w:rPr>
              <w:t>52.47</w:t>
            </w:r>
          </w:p>
        </w:tc>
        <w:tc>
          <w:tcPr>
            <w:tcW w:w="371" w:type="pct"/>
            <w:tcBorders>
              <w:top w:val="single" w:color="auto" w:sz="4" w:space="0"/>
              <w:left w:val="single" w:color="auto" w:sz="4" w:space="0"/>
              <w:bottom w:val="single" w:color="auto" w:sz="4" w:space="0"/>
              <w:right w:val="single" w:color="auto" w:sz="4" w:space="0"/>
            </w:tcBorders>
            <w:vAlign w:val="center"/>
          </w:tcPr>
          <w:p w14:paraId="26B75E65">
            <w:pPr>
              <w:spacing w:line="240" w:lineRule="auto"/>
              <w:jc w:val="center"/>
              <w:rPr>
                <w:kern w:val="0"/>
              </w:rPr>
            </w:pPr>
            <w:r>
              <w:rPr>
                <w:kern w:val="0"/>
              </w:rPr>
              <w:t>12.17</w:t>
            </w:r>
          </w:p>
        </w:tc>
        <w:tc>
          <w:tcPr>
            <w:tcW w:w="371" w:type="pct"/>
            <w:tcBorders>
              <w:top w:val="single" w:color="auto" w:sz="4" w:space="0"/>
              <w:left w:val="single" w:color="auto" w:sz="4" w:space="0"/>
              <w:bottom w:val="single" w:color="auto" w:sz="4" w:space="0"/>
              <w:right w:val="single" w:color="auto" w:sz="4" w:space="0"/>
            </w:tcBorders>
            <w:vAlign w:val="center"/>
          </w:tcPr>
          <w:p w14:paraId="63AD0A8D">
            <w:pPr>
              <w:spacing w:line="240" w:lineRule="auto"/>
              <w:jc w:val="center"/>
              <w:rPr>
                <w:kern w:val="0"/>
              </w:rPr>
            </w:pPr>
            <w:r>
              <w:rPr>
                <w:kern w:val="0"/>
              </w:rPr>
              <w:t>75.46</w:t>
            </w:r>
          </w:p>
        </w:tc>
        <w:tc>
          <w:tcPr>
            <w:tcW w:w="371" w:type="pct"/>
            <w:tcBorders>
              <w:top w:val="single" w:color="auto" w:sz="4" w:space="0"/>
              <w:left w:val="single" w:color="auto" w:sz="4" w:space="0"/>
              <w:bottom w:val="single" w:color="auto" w:sz="4" w:space="0"/>
              <w:right w:val="single" w:color="auto" w:sz="4" w:space="0"/>
            </w:tcBorders>
            <w:vAlign w:val="center"/>
          </w:tcPr>
          <w:p w14:paraId="007AB677">
            <w:pPr>
              <w:spacing w:line="240" w:lineRule="auto"/>
              <w:jc w:val="center"/>
              <w:rPr>
                <w:kern w:val="0"/>
              </w:rPr>
            </w:pPr>
            <w:r>
              <w:rPr>
                <w:kern w:val="0"/>
              </w:rPr>
              <w:t>86.28</w:t>
            </w:r>
          </w:p>
        </w:tc>
        <w:tc>
          <w:tcPr>
            <w:tcW w:w="372" w:type="pct"/>
            <w:tcBorders>
              <w:top w:val="single" w:color="auto" w:sz="4" w:space="0"/>
              <w:left w:val="single" w:color="auto" w:sz="4" w:space="0"/>
              <w:bottom w:val="single" w:color="auto" w:sz="4" w:space="0"/>
              <w:right w:val="single" w:color="auto" w:sz="4" w:space="0"/>
            </w:tcBorders>
            <w:vAlign w:val="center"/>
          </w:tcPr>
          <w:p w14:paraId="7EB6B4A4">
            <w:pPr>
              <w:spacing w:line="240" w:lineRule="auto"/>
              <w:jc w:val="center"/>
              <w:rPr>
                <w:kern w:val="0"/>
              </w:rPr>
            </w:pPr>
            <w:r>
              <w:rPr>
                <w:kern w:val="0"/>
              </w:rPr>
              <w:t>97.29</w:t>
            </w:r>
          </w:p>
        </w:tc>
        <w:tc>
          <w:tcPr>
            <w:tcW w:w="413" w:type="pct"/>
            <w:tcBorders>
              <w:top w:val="single" w:color="auto" w:sz="4" w:space="0"/>
              <w:left w:val="single" w:color="auto" w:sz="4" w:space="0"/>
              <w:bottom w:val="single" w:color="auto" w:sz="4" w:space="0"/>
              <w:right w:val="single" w:color="auto" w:sz="4" w:space="0"/>
            </w:tcBorders>
            <w:vAlign w:val="center"/>
          </w:tcPr>
          <w:p w14:paraId="423CE75F">
            <w:pPr>
              <w:spacing w:line="240" w:lineRule="auto"/>
              <w:jc w:val="center"/>
              <w:rPr>
                <w:kern w:val="0"/>
              </w:rPr>
            </w:pPr>
            <w:r>
              <w:rPr>
                <w:kern w:val="0"/>
              </w:rPr>
              <w:t>3.277</w:t>
            </w:r>
          </w:p>
        </w:tc>
        <w:tc>
          <w:tcPr>
            <w:tcW w:w="381" w:type="pct"/>
            <w:tcBorders>
              <w:top w:val="single" w:color="auto" w:sz="4" w:space="0"/>
              <w:left w:val="single" w:color="auto" w:sz="4" w:space="0"/>
              <w:bottom w:val="single" w:color="auto" w:sz="4" w:space="0"/>
              <w:right w:val="single" w:color="auto" w:sz="4" w:space="0"/>
            </w:tcBorders>
            <w:vAlign w:val="center"/>
          </w:tcPr>
          <w:p w14:paraId="35850D31">
            <w:pPr>
              <w:spacing w:line="240" w:lineRule="auto"/>
              <w:jc w:val="center"/>
              <w:rPr>
                <w:kern w:val="0"/>
              </w:rPr>
            </w:pPr>
            <w:r>
              <w:rPr>
                <w:kern w:val="0"/>
              </w:rPr>
              <w:t>0.985</w:t>
            </w:r>
          </w:p>
        </w:tc>
      </w:tr>
    </w:tbl>
    <w:p w14:paraId="5434D4F2">
      <w:pPr>
        <w:rPr>
          <w:b/>
          <w:bCs/>
        </w:rPr>
      </w:pPr>
    </w:p>
    <w:p w14:paraId="11A0EB87">
      <w:pPr>
        <w:rPr>
          <w:b/>
          <w:bCs/>
        </w:rPr>
      </w:pPr>
    </w:p>
    <w:p w14:paraId="2773771C">
      <w:pPr>
        <w:rPr>
          <w:b/>
          <w:bCs/>
        </w:rPr>
        <w:sectPr>
          <w:pgSz w:w="16838" w:h="11906" w:orient="landscape"/>
          <w:pgMar w:top="1800" w:right="1440" w:bottom="1800" w:left="1440" w:header="851" w:footer="992" w:gutter="0"/>
          <w:cols w:space="425" w:num="1"/>
          <w:docGrid w:type="lines" w:linePitch="326" w:charSpace="0"/>
        </w:sectPr>
      </w:pPr>
    </w:p>
    <w:p w14:paraId="7F9A1CF1">
      <w:pPr>
        <w:pStyle w:val="37"/>
        <w:numPr>
          <w:ilvl w:val="0"/>
          <w:numId w:val="4"/>
        </w:numPr>
      </w:pPr>
      <w:bookmarkStart w:id="10" w:name="_Ref230719733"/>
      <w:r>
        <w:rPr>
          <w:rFonts w:hint="eastAsia"/>
        </w:rPr>
        <w:t>粒径</w:t>
      </w:r>
      <w:r>
        <w:t>分布</w:t>
      </w:r>
      <w:r>
        <w:rPr>
          <w:rFonts w:hint="eastAsia"/>
        </w:rPr>
        <w:t>和需水量比</w:t>
      </w:r>
    </w:p>
    <w:bookmarkEnd w:id="10"/>
    <w:p w14:paraId="67A6A7D3">
      <w:pPr>
        <w:ind w:firstLine="480" w:firstLineChars="200"/>
      </w:pPr>
      <w:r>
        <w:t>对比水泥，研磨后的粉煤灰需水量比下降至96%；但跟原灰相比，研磨后粉煤灰需水量比不降反而升高，根据以往粉煤灰需水量比大量实验数据对比，不太符合以前实验规律，于是再次做了一遍需水量比实验，结果两次数据大致相同，暂时没想到具体原因。</w:t>
      </w:r>
    </w:p>
    <w:p w14:paraId="5E0C8EE4">
      <w:pPr>
        <w:ind w:firstLine="480" w:firstLineChars="200"/>
        <w:jc w:val="center"/>
      </w:pPr>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7</w:t>
      </w:r>
      <w:r>
        <w:fldChar w:fldCharType="end"/>
      </w:r>
      <w:r>
        <w:rPr>
          <w:rFonts w:hint="eastAsia"/>
        </w:rPr>
        <w:t xml:space="preserve"> </w:t>
      </w:r>
      <w:r>
        <w:t>粉煤灰和水泥比表面积</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2"/>
        <w:gridCol w:w="1154"/>
        <w:gridCol w:w="1116"/>
        <w:gridCol w:w="2374"/>
        <w:gridCol w:w="1396"/>
      </w:tblGrid>
      <w:tr w14:paraId="7D59C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56" w:type="pct"/>
            <w:tcBorders>
              <w:top w:val="single" w:color="auto" w:sz="4" w:space="0"/>
              <w:left w:val="single" w:color="auto" w:sz="4" w:space="0"/>
              <w:bottom w:val="single" w:color="auto" w:sz="4" w:space="0"/>
              <w:right w:val="single" w:color="auto" w:sz="4" w:space="0"/>
            </w:tcBorders>
            <w:vAlign w:val="center"/>
          </w:tcPr>
          <w:p w14:paraId="22D2B558">
            <w:pPr>
              <w:jc w:val="center"/>
              <w:rPr>
                <w:rFonts w:hint="eastAsia" w:eastAsia="宋体"/>
                <w:kern w:val="0"/>
                <w:lang w:val="en-US" w:eastAsia="zh-CN"/>
              </w:rPr>
            </w:pPr>
            <w:r>
              <w:rPr>
                <w:rFonts w:hint="eastAsia"/>
                <w:kern w:val="0"/>
                <w:lang w:val="en-US" w:eastAsia="zh-CN"/>
              </w:rPr>
              <w:t>名称</w:t>
            </w:r>
          </w:p>
        </w:tc>
        <w:tc>
          <w:tcPr>
            <w:tcW w:w="677" w:type="pct"/>
            <w:tcBorders>
              <w:top w:val="single" w:color="auto" w:sz="4" w:space="0"/>
              <w:left w:val="single" w:color="auto" w:sz="4" w:space="0"/>
              <w:bottom w:val="single" w:color="auto" w:sz="4" w:space="0"/>
              <w:right w:val="single" w:color="auto" w:sz="4" w:space="0"/>
            </w:tcBorders>
            <w:vAlign w:val="center"/>
          </w:tcPr>
          <w:p w14:paraId="0883B5C2">
            <w:pPr>
              <w:jc w:val="center"/>
              <w:rPr>
                <w:kern w:val="0"/>
              </w:rPr>
            </w:pPr>
            <w:r>
              <w:rPr>
                <w:kern w:val="0"/>
              </w:rPr>
              <w:t>水泥</w:t>
            </w:r>
          </w:p>
        </w:tc>
        <w:tc>
          <w:tcPr>
            <w:tcW w:w="655" w:type="pct"/>
            <w:tcBorders>
              <w:top w:val="single" w:color="auto" w:sz="4" w:space="0"/>
              <w:left w:val="single" w:color="auto" w:sz="4" w:space="0"/>
              <w:bottom w:val="single" w:color="auto" w:sz="4" w:space="0"/>
              <w:right w:val="single" w:color="auto" w:sz="4" w:space="0"/>
            </w:tcBorders>
            <w:vAlign w:val="center"/>
          </w:tcPr>
          <w:p w14:paraId="3FE07D36">
            <w:pPr>
              <w:jc w:val="center"/>
              <w:rPr>
                <w:kern w:val="0"/>
              </w:rPr>
            </w:pPr>
            <w:r>
              <w:rPr>
                <w:kern w:val="0"/>
              </w:rPr>
              <w:t>原灰</w:t>
            </w:r>
          </w:p>
        </w:tc>
        <w:tc>
          <w:tcPr>
            <w:tcW w:w="1393" w:type="pct"/>
            <w:tcBorders>
              <w:top w:val="single" w:color="auto" w:sz="4" w:space="0"/>
              <w:left w:val="single" w:color="auto" w:sz="4" w:space="0"/>
              <w:bottom w:val="single" w:color="auto" w:sz="4" w:space="0"/>
              <w:right w:val="single" w:color="auto" w:sz="4" w:space="0"/>
            </w:tcBorders>
            <w:vAlign w:val="center"/>
          </w:tcPr>
          <w:p w14:paraId="22306121">
            <w:pPr>
              <w:jc w:val="center"/>
              <w:rPr>
                <w:kern w:val="0"/>
              </w:rPr>
            </w:pPr>
            <w:r>
              <w:rPr>
                <w:kern w:val="0"/>
              </w:rPr>
              <w:t>物理改性粉煤灰</w:t>
            </w:r>
          </w:p>
        </w:tc>
        <w:tc>
          <w:tcPr>
            <w:tcW w:w="819" w:type="pct"/>
            <w:tcBorders>
              <w:top w:val="single" w:color="auto" w:sz="4" w:space="0"/>
              <w:left w:val="single" w:color="auto" w:sz="4" w:space="0"/>
              <w:bottom w:val="single" w:color="auto" w:sz="4" w:space="0"/>
              <w:right w:val="single" w:color="auto" w:sz="4" w:space="0"/>
            </w:tcBorders>
            <w:vAlign w:val="center"/>
          </w:tcPr>
          <w:p w14:paraId="350AE0AB">
            <w:pPr>
              <w:jc w:val="center"/>
              <w:rPr>
                <w:kern w:val="0"/>
              </w:rPr>
            </w:pPr>
            <w:r>
              <w:rPr>
                <w:kern w:val="0"/>
              </w:rPr>
              <w:t>I级灰</w:t>
            </w:r>
          </w:p>
        </w:tc>
      </w:tr>
      <w:tr w14:paraId="5AAC6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56" w:type="pct"/>
            <w:tcBorders>
              <w:top w:val="single" w:color="auto" w:sz="4" w:space="0"/>
              <w:left w:val="single" w:color="auto" w:sz="4" w:space="0"/>
              <w:bottom w:val="single" w:color="auto" w:sz="4" w:space="0"/>
              <w:right w:val="single" w:color="auto" w:sz="4" w:space="0"/>
            </w:tcBorders>
            <w:vAlign w:val="center"/>
          </w:tcPr>
          <w:p w14:paraId="77C149EE">
            <w:pPr>
              <w:jc w:val="center"/>
              <w:rPr>
                <w:kern w:val="0"/>
              </w:rPr>
            </w:pPr>
            <w:r>
              <w:rPr>
                <w:kern w:val="0"/>
              </w:rPr>
              <w:t>比表面积（m</w:t>
            </w:r>
            <w:r>
              <w:rPr>
                <w:kern w:val="0"/>
                <w:vertAlign w:val="superscript"/>
              </w:rPr>
              <w:t>2</w:t>
            </w:r>
            <w:r>
              <w:rPr>
                <w:kern w:val="0"/>
              </w:rPr>
              <w:t>/kg）</w:t>
            </w:r>
          </w:p>
        </w:tc>
        <w:tc>
          <w:tcPr>
            <w:tcW w:w="677" w:type="pct"/>
            <w:tcBorders>
              <w:top w:val="single" w:color="auto" w:sz="4" w:space="0"/>
              <w:left w:val="single" w:color="auto" w:sz="4" w:space="0"/>
              <w:bottom w:val="single" w:color="auto" w:sz="4" w:space="0"/>
              <w:right w:val="single" w:color="auto" w:sz="4" w:space="0"/>
            </w:tcBorders>
            <w:vAlign w:val="center"/>
          </w:tcPr>
          <w:p w14:paraId="4D3E1B22">
            <w:pPr>
              <w:jc w:val="center"/>
              <w:rPr>
                <w:kern w:val="0"/>
              </w:rPr>
            </w:pPr>
            <w:r>
              <w:rPr>
                <w:kern w:val="0"/>
              </w:rPr>
              <w:t>407</w:t>
            </w:r>
          </w:p>
        </w:tc>
        <w:tc>
          <w:tcPr>
            <w:tcW w:w="655" w:type="pct"/>
            <w:tcBorders>
              <w:top w:val="single" w:color="auto" w:sz="4" w:space="0"/>
              <w:left w:val="single" w:color="auto" w:sz="4" w:space="0"/>
              <w:bottom w:val="single" w:color="auto" w:sz="4" w:space="0"/>
              <w:right w:val="single" w:color="auto" w:sz="4" w:space="0"/>
            </w:tcBorders>
            <w:vAlign w:val="center"/>
          </w:tcPr>
          <w:p w14:paraId="62A3C1F0">
            <w:pPr>
              <w:jc w:val="center"/>
              <w:rPr>
                <w:kern w:val="0"/>
              </w:rPr>
            </w:pPr>
            <w:r>
              <w:rPr>
                <w:kern w:val="0"/>
              </w:rPr>
              <w:t>303</w:t>
            </w:r>
          </w:p>
        </w:tc>
        <w:tc>
          <w:tcPr>
            <w:tcW w:w="1393" w:type="pct"/>
            <w:tcBorders>
              <w:top w:val="single" w:color="auto" w:sz="4" w:space="0"/>
              <w:left w:val="single" w:color="auto" w:sz="4" w:space="0"/>
              <w:bottom w:val="single" w:color="auto" w:sz="4" w:space="0"/>
              <w:right w:val="single" w:color="auto" w:sz="4" w:space="0"/>
            </w:tcBorders>
            <w:vAlign w:val="center"/>
          </w:tcPr>
          <w:p w14:paraId="3F54052E">
            <w:pPr>
              <w:jc w:val="center"/>
              <w:rPr>
                <w:kern w:val="0"/>
              </w:rPr>
            </w:pPr>
            <w:r>
              <w:rPr>
                <w:kern w:val="0"/>
              </w:rPr>
              <w:t>549</w:t>
            </w:r>
          </w:p>
        </w:tc>
        <w:tc>
          <w:tcPr>
            <w:tcW w:w="819" w:type="pct"/>
            <w:tcBorders>
              <w:top w:val="single" w:color="auto" w:sz="4" w:space="0"/>
              <w:left w:val="single" w:color="auto" w:sz="4" w:space="0"/>
              <w:bottom w:val="single" w:color="auto" w:sz="4" w:space="0"/>
              <w:right w:val="single" w:color="auto" w:sz="4" w:space="0"/>
            </w:tcBorders>
            <w:vAlign w:val="center"/>
          </w:tcPr>
          <w:p w14:paraId="15578C42">
            <w:pPr>
              <w:jc w:val="center"/>
              <w:rPr>
                <w:kern w:val="0"/>
              </w:rPr>
            </w:pPr>
            <w:r>
              <w:rPr>
                <w:kern w:val="0"/>
              </w:rPr>
              <w:t>500</w:t>
            </w:r>
          </w:p>
        </w:tc>
      </w:tr>
    </w:tbl>
    <w:p w14:paraId="7F814129">
      <w:pPr>
        <w:ind w:firstLine="480" w:firstLineChars="200"/>
        <w:jc w:val="center"/>
      </w:pPr>
      <w:bookmarkStart w:id="11" w:name="_Ref230720286"/>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8</w:t>
      </w:r>
      <w:r>
        <w:fldChar w:fldCharType="end"/>
      </w:r>
      <w:bookmarkEnd w:id="11"/>
      <w:r>
        <w:rPr>
          <w:rFonts w:hint="eastAsia"/>
        </w:rPr>
        <w:t xml:space="preserve"> </w:t>
      </w:r>
      <w:r>
        <w:t>粉煤灰需水量比</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97"/>
        <w:gridCol w:w="2558"/>
        <w:gridCol w:w="3067"/>
      </w:tblGrid>
      <w:tr w14:paraId="4A23F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0" w:type="pct"/>
            <w:tcBorders>
              <w:top w:val="single" w:color="auto" w:sz="4" w:space="0"/>
              <w:left w:val="single" w:color="auto" w:sz="4" w:space="0"/>
              <w:bottom w:val="single" w:color="auto" w:sz="4" w:space="0"/>
              <w:right w:val="single" w:color="auto" w:sz="4" w:space="0"/>
            </w:tcBorders>
            <w:vAlign w:val="center"/>
          </w:tcPr>
          <w:p w14:paraId="1CADB73C">
            <w:pPr>
              <w:spacing w:line="240" w:lineRule="auto"/>
              <w:jc w:val="center"/>
              <w:rPr>
                <w:kern w:val="0"/>
              </w:rPr>
            </w:pPr>
            <w:r>
              <w:rPr>
                <w:kern w:val="0"/>
              </w:rPr>
              <w:t>编号</w:t>
            </w:r>
          </w:p>
        </w:tc>
        <w:tc>
          <w:tcPr>
            <w:tcW w:w="1501" w:type="pct"/>
            <w:tcBorders>
              <w:top w:val="single" w:color="auto" w:sz="4" w:space="0"/>
              <w:left w:val="single" w:color="auto" w:sz="4" w:space="0"/>
              <w:bottom w:val="single" w:color="auto" w:sz="4" w:space="0"/>
              <w:right w:val="single" w:color="auto" w:sz="4" w:space="0"/>
            </w:tcBorders>
            <w:vAlign w:val="center"/>
          </w:tcPr>
          <w:p w14:paraId="4F5B3DA8">
            <w:pPr>
              <w:spacing w:line="240" w:lineRule="auto"/>
              <w:jc w:val="center"/>
              <w:rPr>
                <w:kern w:val="0"/>
              </w:rPr>
            </w:pPr>
            <w:r>
              <w:rPr>
                <w:kern w:val="0"/>
              </w:rPr>
              <w:t>名称</w:t>
            </w:r>
          </w:p>
        </w:tc>
        <w:tc>
          <w:tcPr>
            <w:tcW w:w="1799" w:type="pct"/>
            <w:tcBorders>
              <w:top w:val="single" w:color="auto" w:sz="4" w:space="0"/>
              <w:left w:val="single" w:color="auto" w:sz="4" w:space="0"/>
              <w:bottom w:val="single" w:color="auto" w:sz="4" w:space="0"/>
              <w:right w:val="single" w:color="auto" w:sz="4" w:space="0"/>
            </w:tcBorders>
            <w:vAlign w:val="center"/>
          </w:tcPr>
          <w:p w14:paraId="7A592D18">
            <w:pPr>
              <w:spacing w:line="240" w:lineRule="auto"/>
              <w:jc w:val="center"/>
              <w:rPr>
                <w:kern w:val="0"/>
              </w:rPr>
            </w:pPr>
            <w:r>
              <w:rPr>
                <w:kern w:val="0"/>
              </w:rPr>
              <w:t>需水量比（%）</w:t>
            </w:r>
          </w:p>
        </w:tc>
      </w:tr>
      <w:tr w14:paraId="562BA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0" w:type="pct"/>
            <w:tcBorders>
              <w:top w:val="single" w:color="auto" w:sz="4" w:space="0"/>
              <w:left w:val="single" w:color="auto" w:sz="4" w:space="0"/>
              <w:bottom w:val="single" w:color="auto" w:sz="4" w:space="0"/>
              <w:right w:val="single" w:color="auto" w:sz="4" w:space="0"/>
            </w:tcBorders>
            <w:vAlign w:val="center"/>
          </w:tcPr>
          <w:p w14:paraId="60667815">
            <w:pPr>
              <w:spacing w:line="240" w:lineRule="auto"/>
              <w:jc w:val="center"/>
              <w:rPr>
                <w:kern w:val="0"/>
              </w:rPr>
            </w:pPr>
            <w:r>
              <w:rPr>
                <w:kern w:val="0"/>
              </w:rPr>
              <w:t>FY</w:t>
            </w:r>
          </w:p>
        </w:tc>
        <w:tc>
          <w:tcPr>
            <w:tcW w:w="1501" w:type="pct"/>
            <w:tcBorders>
              <w:top w:val="single" w:color="auto" w:sz="4" w:space="0"/>
              <w:left w:val="single" w:color="auto" w:sz="4" w:space="0"/>
              <w:bottom w:val="single" w:color="auto" w:sz="4" w:space="0"/>
              <w:right w:val="single" w:color="auto" w:sz="4" w:space="0"/>
            </w:tcBorders>
            <w:vAlign w:val="center"/>
          </w:tcPr>
          <w:p w14:paraId="5619AB53">
            <w:pPr>
              <w:spacing w:line="240" w:lineRule="auto"/>
              <w:jc w:val="center"/>
              <w:rPr>
                <w:kern w:val="0"/>
              </w:rPr>
            </w:pPr>
            <w:r>
              <w:rPr>
                <w:kern w:val="0"/>
              </w:rPr>
              <w:t>原灰</w:t>
            </w:r>
          </w:p>
        </w:tc>
        <w:tc>
          <w:tcPr>
            <w:tcW w:w="1799" w:type="pct"/>
            <w:tcBorders>
              <w:top w:val="single" w:color="auto" w:sz="4" w:space="0"/>
              <w:left w:val="single" w:color="auto" w:sz="4" w:space="0"/>
              <w:bottom w:val="single" w:color="auto" w:sz="4" w:space="0"/>
              <w:right w:val="single" w:color="auto" w:sz="4" w:space="0"/>
            </w:tcBorders>
            <w:vAlign w:val="center"/>
          </w:tcPr>
          <w:p w14:paraId="31CE65FF">
            <w:pPr>
              <w:spacing w:line="240" w:lineRule="auto"/>
              <w:jc w:val="center"/>
              <w:rPr>
                <w:kern w:val="0"/>
              </w:rPr>
            </w:pPr>
            <w:r>
              <w:rPr>
                <w:kern w:val="0"/>
              </w:rPr>
              <w:t>95.2</w:t>
            </w:r>
          </w:p>
        </w:tc>
      </w:tr>
      <w:tr w14:paraId="19373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0" w:type="pct"/>
            <w:tcBorders>
              <w:top w:val="single" w:color="auto" w:sz="4" w:space="0"/>
              <w:left w:val="single" w:color="auto" w:sz="4" w:space="0"/>
              <w:bottom w:val="single" w:color="auto" w:sz="4" w:space="0"/>
              <w:right w:val="single" w:color="auto" w:sz="4" w:space="0"/>
            </w:tcBorders>
            <w:vAlign w:val="center"/>
          </w:tcPr>
          <w:p w14:paraId="64E9F6AD">
            <w:pPr>
              <w:spacing w:line="240" w:lineRule="auto"/>
              <w:jc w:val="center"/>
              <w:rPr>
                <w:kern w:val="0"/>
              </w:rPr>
            </w:pPr>
            <w:r>
              <w:rPr>
                <w:kern w:val="0"/>
              </w:rPr>
              <w:t>FW</w:t>
            </w:r>
          </w:p>
        </w:tc>
        <w:tc>
          <w:tcPr>
            <w:tcW w:w="1501" w:type="pct"/>
            <w:tcBorders>
              <w:top w:val="single" w:color="auto" w:sz="4" w:space="0"/>
              <w:left w:val="single" w:color="auto" w:sz="4" w:space="0"/>
              <w:bottom w:val="single" w:color="auto" w:sz="4" w:space="0"/>
              <w:right w:val="single" w:color="auto" w:sz="4" w:space="0"/>
            </w:tcBorders>
            <w:vAlign w:val="center"/>
          </w:tcPr>
          <w:p w14:paraId="7EA93072">
            <w:pPr>
              <w:spacing w:line="240" w:lineRule="auto"/>
              <w:jc w:val="center"/>
              <w:rPr>
                <w:kern w:val="0"/>
              </w:rPr>
            </w:pPr>
            <w:r>
              <w:rPr>
                <w:kern w:val="0"/>
              </w:rPr>
              <w:t>物理改性粉煤灰</w:t>
            </w:r>
          </w:p>
        </w:tc>
        <w:tc>
          <w:tcPr>
            <w:tcW w:w="1799" w:type="pct"/>
            <w:tcBorders>
              <w:top w:val="single" w:color="auto" w:sz="4" w:space="0"/>
              <w:left w:val="single" w:color="auto" w:sz="4" w:space="0"/>
              <w:bottom w:val="single" w:color="auto" w:sz="4" w:space="0"/>
              <w:right w:val="single" w:color="auto" w:sz="4" w:space="0"/>
            </w:tcBorders>
            <w:vAlign w:val="center"/>
          </w:tcPr>
          <w:p w14:paraId="3BB4914E">
            <w:pPr>
              <w:spacing w:line="240" w:lineRule="auto"/>
              <w:jc w:val="center"/>
              <w:rPr>
                <w:kern w:val="0"/>
              </w:rPr>
            </w:pPr>
            <w:r>
              <w:rPr>
                <w:kern w:val="0"/>
              </w:rPr>
              <w:t>96</w:t>
            </w:r>
          </w:p>
        </w:tc>
      </w:tr>
      <w:tr w14:paraId="49F42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0" w:type="pct"/>
            <w:tcBorders>
              <w:top w:val="single" w:color="auto" w:sz="4" w:space="0"/>
              <w:left w:val="single" w:color="auto" w:sz="4" w:space="0"/>
              <w:bottom w:val="single" w:color="auto" w:sz="4" w:space="0"/>
              <w:right w:val="single" w:color="auto" w:sz="4" w:space="0"/>
            </w:tcBorders>
            <w:vAlign w:val="center"/>
          </w:tcPr>
          <w:p w14:paraId="770482BD">
            <w:pPr>
              <w:spacing w:line="240" w:lineRule="auto"/>
              <w:jc w:val="center"/>
              <w:rPr>
                <w:kern w:val="0"/>
              </w:rPr>
            </w:pPr>
            <w:r>
              <w:rPr>
                <w:kern w:val="0"/>
              </w:rPr>
              <w:t>FI</w:t>
            </w:r>
          </w:p>
        </w:tc>
        <w:tc>
          <w:tcPr>
            <w:tcW w:w="1501" w:type="pct"/>
            <w:tcBorders>
              <w:top w:val="single" w:color="auto" w:sz="4" w:space="0"/>
              <w:left w:val="single" w:color="auto" w:sz="4" w:space="0"/>
              <w:bottom w:val="single" w:color="auto" w:sz="4" w:space="0"/>
              <w:right w:val="single" w:color="auto" w:sz="4" w:space="0"/>
            </w:tcBorders>
            <w:vAlign w:val="center"/>
          </w:tcPr>
          <w:p w14:paraId="03189136">
            <w:pPr>
              <w:spacing w:line="240" w:lineRule="auto"/>
              <w:jc w:val="center"/>
              <w:rPr>
                <w:kern w:val="0"/>
              </w:rPr>
            </w:pPr>
            <w:r>
              <w:rPr>
                <w:kern w:val="0"/>
              </w:rPr>
              <w:t>I级粉煤灰</w:t>
            </w:r>
          </w:p>
        </w:tc>
        <w:tc>
          <w:tcPr>
            <w:tcW w:w="1799" w:type="pct"/>
            <w:tcBorders>
              <w:top w:val="single" w:color="auto" w:sz="4" w:space="0"/>
              <w:left w:val="single" w:color="auto" w:sz="4" w:space="0"/>
              <w:bottom w:val="single" w:color="auto" w:sz="4" w:space="0"/>
              <w:right w:val="single" w:color="auto" w:sz="4" w:space="0"/>
            </w:tcBorders>
            <w:vAlign w:val="center"/>
          </w:tcPr>
          <w:p w14:paraId="60878488">
            <w:pPr>
              <w:spacing w:line="240" w:lineRule="auto"/>
              <w:jc w:val="center"/>
              <w:rPr>
                <w:kern w:val="0"/>
              </w:rPr>
            </w:pPr>
            <w:r>
              <w:rPr>
                <w:kern w:val="0"/>
              </w:rPr>
              <w:t>94.4</w:t>
            </w:r>
          </w:p>
        </w:tc>
      </w:tr>
    </w:tbl>
    <w:p w14:paraId="5395ACF4">
      <w:pPr>
        <w:pStyle w:val="37"/>
        <w:numPr>
          <w:ilvl w:val="2"/>
          <w:numId w:val="2"/>
        </w:numPr>
        <w:ind w:firstLine="482" w:firstLineChars="200"/>
        <w:outlineLvl w:val="2"/>
        <w:rPr>
          <w:b/>
          <w:bCs/>
        </w:rPr>
      </w:pPr>
      <w:r>
        <w:rPr>
          <w:rFonts w:hint="eastAsia"/>
          <w:b/>
          <w:bCs/>
        </w:rPr>
        <w:t>物理改性</w:t>
      </w:r>
      <w:r>
        <w:rPr>
          <w:b/>
          <w:bCs/>
        </w:rPr>
        <w:t>粉煤灰在</w:t>
      </w:r>
      <w:r>
        <w:rPr>
          <w:rFonts w:hint="eastAsia"/>
          <w:b/>
          <w:bCs/>
        </w:rPr>
        <w:t>水泥砂浆</w:t>
      </w:r>
      <w:r>
        <w:rPr>
          <w:b/>
          <w:bCs/>
        </w:rPr>
        <w:t>中的应用研究</w:t>
      </w:r>
    </w:p>
    <w:p w14:paraId="291C1266">
      <w:pPr>
        <w:pStyle w:val="37"/>
        <w:numPr>
          <w:ilvl w:val="0"/>
          <w:numId w:val="5"/>
        </w:numPr>
      </w:pPr>
      <w:r>
        <w:t>不同掺量粉煤灰对水泥标准稠度用水量和凝结时间影响</w:t>
      </w:r>
    </w:p>
    <w:p w14:paraId="34FA8B7A">
      <w:pPr>
        <w:ind w:firstLine="480" w:firstLineChars="200"/>
      </w:pPr>
      <w:r>
        <w:t>取宁东赛马P·O</w:t>
      </w:r>
      <w:r>
        <w:rPr>
          <w:rFonts w:hint="eastAsia"/>
        </w:rPr>
        <w:t xml:space="preserve"> </w:t>
      </w:r>
      <w:r>
        <w:t>42.5R水泥分别在其中掺5%、15%、25%和35%的粉煤灰磨前原灰、物理改性粉煤灰和Ⅰ级粉煤灰，充分混合均匀，不同掺量粉煤灰</w:t>
      </w:r>
      <w:r>
        <w:rPr>
          <w:rFonts w:hint="eastAsia"/>
          <w:lang w:val="en-US" w:eastAsia="zh-CN"/>
        </w:rPr>
        <w:t>的</w:t>
      </w:r>
      <w:r>
        <w:t>标准稠度用水量对比</w:t>
      </w:r>
      <w:r>
        <w:rPr>
          <w:rFonts w:hint="eastAsia"/>
          <w:lang w:val="en-US" w:eastAsia="zh-CN"/>
        </w:rPr>
        <w:t>见</w:t>
      </w:r>
      <w:r>
        <w:rPr>
          <w:rFonts w:hint="eastAsia"/>
          <w:lang w:val="en-US" w:eastAsia="zh-CN"/>
        </w:rPr>
        <w:fldChar w:fldCharType="begin"/>
      </w:r>
      <w:r>
        <w:rPr>
          <w:rFonts w:hint="eastAsia"/>
          <w:lang w:val="en-US" w:eastAsia="zh-CN"/>
        </w:rPr>
        <w:instrText xml:space="preserve"> REF _Ref230719692 \h </w:instrText>
      </w:r>
      <w:r>
        <w:rPr>
          <w:rFonts w:hint="eastAsia"/>
          <w:lang w:val="en-US" w:eastAsia="zh-CN"/>
        </w:rPr>
        <w:fldChar w:fldCharType="separate"/>
      </w:r>
      <w:r>
        <w:rPr>
          <w:rFonts w:hint="eastAsia"/>
          <w:color w:val="000000"/>
        </w:rPr>
        <w:t>图</w:t>
      </w:r>
      <w:r>
        <w:rPr>
          <w:color w:val="000000"/>
        </w:rPr>
        <w:t>4</w:t>
      </w:r>
      <w:r>
        <w:rPr>
          <w:rFonts w:hint="eastAsia"/>
          <w:lang w:val="en-US" w:eastAsia="zh-CN"/>
        </w:rPr>
        <w:fldChar w:fldCharType="end"/>
      </w:r>
      <w:r>
        <w:rPr>
          <w:rFonts w:hint="eastAsia"/>
          <w:lang w:val="en-US" w:eastAsia="zh-CN"/>
        </w:rPr>
        <w:t>，</w:t>
      </w:r>
      <w:r>
        <w:t>标准稠度用水量、凝结时间见</w:t>
      </w:r>
      <w:r>
        <w:fldChar w:fldCharType="begin"/>
      </w:r>
      <w:r>
        <w:instrText xml:space="preserve"> REF _Ref230707297 \h  \* MERGEFORMAT </w:instrText>
      </w:r>
      <w:r>
        <w:fldChar w:fldCharType="separate"/>
      </w:r>
      <w:r>
        <w:rPr>
          <w:rFonts w:hint="eastAsia"/>
        </w:rPr>
        <w:t>表</w:t>
      </w:r>
      <w:r>
        <w:t>9</w:t>
      </w:r>
      <w:r>
        <w:fldChar w:fldCharType="end"/>
      </w:r>
      <w:r>
        <w:t>。</w:t>
      </w:r>
    </w:p>
    <w:p w14:paraId="64A231AF">
      <w:pPr>
        <w:widowControl w:val="0"/>
        <w:ind w:firstLine="480" w:firstLineChars="200"/>
        <w:jc w:val="center"/>
      </w:pPr>
      <w:bookmarkStart w:id="12" w:name="_Ref230707297"/>
      <w:r>
        <w:rPr>
          <w:rFonts w:hint="eastAsia" w:cs="宋体"/>
          <w:kern w:val="0"/>
        </w:rPr>
        <w:drawing>
          <wp:inline distT="0" distB="0" distL="0" distR="0">
            <wp:extent cx="3724910" cy="2519680"/>
            <wp:effectExtent l="0" t="0" r="8890" b="10160"/>
            <wp:docPr id="212877710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777105" name="图片 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725469" cy="2520000"/>
                    </a:xfrm>
                    <a:prstGeom prst="rect">
                      <a:avLst/>
                    </a:prstGeom>
                    <a:noFill/>
                    <a:ln>
                      <a:noFill/>
                    </a:ln>
                  </pic:spPr>
                </pic:pic>
              </a:graphicData>
            </a:graphic>
          </wp:inline>
        </w:drawing>
      </w:r>
    </w:p>
    <w:p w14:paraId="20CB7104">
      <w:pPr>
        <w:widowControl w:val="0"/>
        <w:ind w:firstLine="480" w:firstLineChars="200"/>
        <w:jc w:val="center"/>
        <w:rPr>
          <w:rFonts w:hint="eastAsia"/>
        </w:rPr>
      </w:pPr>
      <w:bookmarkStart w:id="13" w:name="_Ref230719692"/>
      <w:r>
        <w:rPr>
          <w:rFonts w:hint="eastAsia"/>
          <w:color w:val="000000"/>
        </w:rPr>
        <w:t>图</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4</w:t>
      </w:r>
      <w:r>
        <w:rPr>
          <w:color w:val="000000"/>
        </w:rPr>
        <w:fldChar w:fldCharType="end"/>
      </w:r>
      <w:bookmarkEnd w:id="13"/>
      <w:r>
        <w:rPr>
          <w:rFonts w:hint="eastAsia"/>
          <w:color w:val="000000"/>
        </w:rPr>
        <w:t xml:space="preserve"> </w:t>
      </w:r>
      <w:r>
        <w:t>粉煤灰不同掺量标准稠度用水量对比</w:t>
      </w:r>
    </w:p>
    <w:p w14:paraId="5A58FF11">
      <w:pPr>
        <w:rPr>
          <w:rFonts w:hint="eastAsia"/>
        </w:rPr>
      </w:pPr>
      <w:r>
        <w:rPr>
          <w:rFonts w:hint="eastAsia"/>
        </w:rPr>
        <w:br w:type="page"/>
      </w:r>
    </w:p>
    <w:p w14:paraId="0BE85D4C">
      <w:pPr>
        <w:autoSpaceDE w:val="0"/>
        <w:ind w:right="-175" w:rightChars="-73" w:firstLine="480" w:firstLineChars="200"/>
        <w:jc w:val="center"/>
      </w:pPr>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9</w:t>
      </w:r>
      <w:r>
        <w:fldChar w:fldCharType="end"/>
      </w:r>
      <w:bookmarkEnd w:id="12"/>
      <w:r>
        <w:rPr>
          <w:rFonts w:hint="eastAsia"/>
        </w:rPr>
        <w:t xml:space="preserve"> </w:t>
      </w:r>
      <w:r>
        <w:t>凝结时间试验结果</w:t>
      </w:r>
    </w:p>
    <w:tbl>
      <w:tblPr>
        <w:tblStyle w:val="19"/>
        <w:tblW w:w="527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82"/>
        <w:gridCol w:w="640"/>
        <w:gridCol w:w="581"/>
        <w:gridCol w:w="1705"/>
        <w:gridCol w:w="852"/>
        <w:gridCol w:w="1424"/>
        <w:gridCol w:w="995"/>
        <w:gridCol w:w="996"/>
        <w:gridCol w:w="895"/>
      </w:tblGrid>
      <w:tr w14:paraId="31FB2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89" w:type="pct"/>
            <w:vMerge w:val="restart"/>
            <w:tcBorders>
              <w:top w:val="single" w:color="auto" w:sz="4" w:space="0"/>
              <w:left w:val="single" w:color="auto" w:sz="4" w:space="0"/>
              <w:bottom w:val="single" w:color="auto" w:sz="4" w:space="0"/>
              <w:right w:val="single" w:color="auto" w:sz="4" w:space="0"/>
            </w:tcBorders>
            <w:vAlign w:val="center"/>
          </w:tcPr>
          <w:p w14:paraId="6C4FD777">
            <w:pPr>
              <w:spacing w:line="240" w:lineRule="auto"/>
              <w:jc w:val="center"/>
            </w:pPr>
            <w:r>
              <w:t>编号</w:t>
            </w:r>
          </w:p>
        </w:tc>
        <w:tc>
          <w:tcPr>
            <w:tcW w:w="2154" w:type="pct"/>
            <w:gridSpan w:val="4"/>
            <w:tcBorders>
              <w:top w:val="single" w:color="auto" w:sz="4" w:space="0"/>
              <w:left w:val="nil"/>
              <w:bottom w:val="single" w:color="auto" w:sz="4" w:space="0"/>
              <w:right w:val="single" w:color="auto" w:sz="4" w:space="0"/>
            </w:tcBorders>
            <w:vAlign w:val="center"/>
          </w:tcPr>
          <w:p w14:paraId="4E09EC89">
            <w:pPr>
              <w:spacing w:line="240" w:lineRule="auto"/>
              <w:jc w:val="center"/>
            </w:pPr>
            <w:r>
              <w:t>配比（%）</w:t>
            </w:r>
          </w:p>
        </w:tc>
        <w:tc>
          <w:tcPr>
            <w:tcW w:w="812" w:type="pct"/>
            <w:vMerge w:val="restart"/>
            <w:tcBorders>
              <w:top w:val="single" w:color="auto" w:sz="4" w:space="0"/>
              <w:left w:val="nil"/>
              <w:bottom w:val="single" w:color="auto" w:sz="4" w:space="0"/>
              <w:right w:val="single" w:color="auto" w:sz="4" w:space="0"/>
            </w:tcBorders>
            <w:vAlign w:val="center"/>
          </w:tcPr>
          <w:p w14:paraId="6DC42ACB">
            <w:pPr>
              <w:spacing w:line="240" w:lineRule="auto"/>
              <w:jc w:val="center"/>
            </w:pPr>
            <w:r>
              <w:t>标准稠度用水量（%）</w:t>
            </w:r>
          </w:p>
        </w:tc>
        <w:tc>
          <w:tcPr>
            <w:tcW w:w="1135" w:type="pct"/>
            <w:gridSpan w:val="2"/>
            <w:tcBorders>
              <w:top w:val="single" w:color="auto" w:sz="4" w:space="0"/>
              <w:left w:val="nil"/>
              <w:bottom w:val="single" w:color="auto" w:sz="4" w:space="0"/>
              <w:right w:val="single" w:color="auto" w:sz="4" w:space="0"/>
            </w:tcBorders>
            <w:vAlign w:val="center"/>
          </w:tcPr>
          <w:p w14:paraId="19AAA496">
            <w:pPr>
              <w:spacing w:line="240" w:lineRule="auto"/>
              <w:jc w:val="center"/>
            </w:pPr>
            <w:r>
              <w:t>凝结时间（min）</w:t>
            </w:r>
          </w:p>
        </w:tc>
        <w:tc>
          <w:tcPr>
            <w:tcW w:w="510" w:type="pct"/>
            <w:vMerge w:val="restart"/>
            <w:tcBorders>
              <w:top w:val="single" w:color="auto" w:sz="4" w:space="0"/>
              <w:left w:val="nil"/>
              <w:bottom w:val="single" w:color="auto" w:sz="4" w:space="0"/>
              <w:right w:val="single" w:color="auto" w:sz="4" w:space="0"/>
            </w:tcBorders>
            <w:vAlign w:val="center"/>
          </w:tcPr>
          <w:p w14:paraId="4278C544">
            <w:pPr>
              <w:spacing w:line="240" w:lineRule="auto"/>
              <w:jc w:val="center"/>
            </w:pPr>
            <w:r>
              <w:t>安定性</w:t>
            </w:r>
          </w:p>
          <w:p w14:paraId="2E349314">
            <w:pPr>
              <w:spacing w:line="240" w:lineRule="auto"/>
              <w:jc w:val="center"/>
            </w:pPr>
            <w:r>
              <w:t>（mm）</w:t>
            </w:r>
          </w:p>
        </w:tc>
      </w:tr>
      <w:tr w14:paraId="55C0C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89" w:type="pct"/>
            <w:vMerge w:val="continue"/>
            <w:tcBorders>
              <w:top w:val="single" w:color="auto" w:sz="4" w:space="0"/>
              <w:left w:val="single" w:color="auto" w:sz="4" w:space="0"/>
              <w:bottom w:val="single" w:color="auto" w:sz="4" w:space="0"/>
              <w:right w:val="single" w:color="auto" w:sz="4" w:space="0"/>
            </w:tcBorders>
            <w:vAlign w:val="center"/>
          </w:tcPr>
          <w:p w14:paraId="0A988E5F">
            <w:pPr>
              <w:spacing w:line="240" w:lineRule="auto"/>
              <w:jc w:val="left"/>
            </w:pPr>
          </w:p>
        </w:tc>
        <w:tc>
          <w:tcPr>
            <w:tcW w:w="365" w:type="pct"/>
            <w:tcBorders>
              <w:top w:val="single" w:color="auto" w:sz="4" w:space="0"/>
              <w:left w:val="nil"/>
              <w:bottom w:val="single" w:color="auto" w:sz="4" w:space="0"/>
              <w:right w:val="single" w:color="auto" w:sz="4" w:space="0"/>
            </w:tcBorders>
            <w:vAlign w:val="center"/>
          </w:tcPr>
          <w:p w14:paraId="199A7668">
            <w:pPr>
              <w:spacing w:line="240" w:lineRule="auto"/>
              <w:jc w:val="center"/>
            </w:pPr>
            <w:r>
              <w:t>水泥</w:t>
            </w:r>
          </w:p>
        </w:tc>
        <w:tc>
          <w:tcPr>
            <w:tcW w:w="331" w:type="pct"/>
            <w:tcBorders>
              <w:top w:val="single" w:color="auto" w:sz="4" w:space="0"/>
              <w:left w:val="nil"/>
              <w:bottom w:val="single" w:color="auto" w:sz="4" w:space="0"/>
              <w:right w:val="single" w:color="auto" w:sz="4" w:space="0"/>
            </w:tcBorders>
            <w:vAlign w:val="center"/>
          </w:tcPr>
          <w:p w14:paraId="55BD277B">
            <w:pPr>
              <w:spacing w:line="240" w:lineRule="auto"/>
              <w:jc w:val="center"/>
            </w:pPr>
            <w:r>
              <w:t>原灰</w:t>
            </w:r>
          </w:p>
        </w:tc>
        <w:tc>
          <w:tcPr>
            <w:tcW w:w="972" w:type="pct"/>
            <w:tcBorders>
              <w:top w:val="single" w:color="auto" w:sz="4" w:space="0"/>
              <w:left w:val="nil"/>
              <w:bottom w:val="single" w:color="auto" w:sz="4" w:space="0"/>
              <w:right w:val="single" w:color="auto" w:sz="4" w:space="0"/>
            </w:tcBorders>
            <w:vAlign w:val="center"/>
          </w:tcPr>
          <w:p w14:paraId="54A08042">
            <w:pPr>
              <w:spacing w:line="240" w:lineRule="auto"/>
              <w:jc w:val="center"/>
            </w:pPr>
            <w:r>
              <w:t>物理改性粉煤灰</w:t>
            </w:r>
          </w:p>
        </w:tc>
        <w:tc>
          <w:tcPr>
            <w:tcW w:w="486" w:type="pct"/>
            <w:tcBorders>
              <w:top w:val="single" w:color="auto" w:sz="4" w:space="0"/>
              <w:left w:val="nil"/>
              <w:bottom w:val="single" w:color="auto" w:sz="4" w:space="0"/>
              <w:right w:val="single" w:color="auto" w:sz="4" w:space="0"/>
            </w:tcBorders>
            <w:vAlign w:val="center"/>
          </w:tcPr>
          <w:p w14:paraId="2C65575E">
            <w:pPr>
              <w:spacing w:line="240" w:lineRule="auto"/>
              <w:jc w:val="center"/>
            </w:pPr>
            <w:r>
              <w:t>Ⅰ级灰</w:t>
            </w:r>
          </w:p>
        </w:tc>
        <w:tc>
          <w:tcPr>
            <w:tcW w:w="812" w:type="pct"/>
            <w:vMerge w:val="continue"/>
            <w:tcBorders>
              <w:top w:val="single" w:color="auto" w:sz="4" w:space="0"/>
              <w:left w:val="nil"/>
              <w:bottom w:val="single" w:color="auto" w:sz="4" w:space="0"/>
              <w:right w:val="single" w:color="auto" w:sz="4" w:space="0"/>
            </w:tcBorders>
            <w:vAlign w:val="center"/>
          </w:tcPr>
          <w:p w14:paraId="46D5807F">
            <w:pPr>
              <w:spacing w:line="240" w:lineRule="auto"/>
              <w:jc w:val="left"/>
            </w:pPr>
          </w:p>
        </w:tc>
        <w:tc>
          <w:tcPr>
            <w:tcW w:w="567" w:type="pct"/>
            <w:tcBorders>
              <w:top w:val="single" w:color="auto" w:sz="4" w:space="0"/>
              <w:left w:val="nil"/>
              <w:bottom w:val="single" w:color="auto" w:sz="4" w:space="0"/>
              <w:right w:val="single" w:color="auto" w:sz="4" w:space="0"/>
            </w:tcBorders>
            <w:vAlign w:val="center"/>
          </w:tcPr>
          <w:p w14:paraId="07AF6FB1">
            <w:pPr>
              <w:spacing w:line="240" w:lineRule="auto"/>
              <w:jc w:val="center"/>
            </w:pPr>
            <w:r>
              <w:t>初凝</w:t>
            </w:r>
          </w:p>
        </w:tc>
        <w:tc>
          <w:tcPr>
            <w:tcW w:w="568" w:type="pct"/>
            <w:tcBorders>
              <w:top w:val="single" w:color="auto" w:sz="4" w:space="0"/>
              <w:left w:val="nil"/>
              <w:bottom w:val="single" w:color="auto" w:sz="4" w:space="0"/>
              <w:right w:val="single" w:color="auto" w:sz="4" w:space="0"/>
            </w:tcBorders>
            <w:vAlign w:val="center"/>
          </w:tcPr>
          <w:p w14:paraId="705C8DD3">
            <w:pPr>
              <w:spacing w:line="240" w:lineRule="auto"/>
              <w:jc w:val="center"/>
            </w:pPr>
            <w:r>
              <w:t>终凝</w:t>
            </w:r>
          </w:p>
        </w:tc>
        <w:tc>
          <w:tcPr>
            <w:tcW w:w="510" w:type="pct"/>
            <w:vMerge w:val="continue"/>
            <w:tcBorders>
              <w:top w:val="single" w:color="auto" w:sz="4" w:space="0"/>
              <w:left w:val="nil"/>
              <w:bottom w:val="single" w:color="auto" w:sz="4" w:space="0"/>
              <w:right w:val="single" w:color="auto" w:sz="4" w:space="0"/>
            </w:tcBorders>
            <w:vAlign w:val="center"/>
          </w:tcPr>
          <w:p w14:paraId="29B9BE28">
            <w:pPr>
              <w:spacing w:line="240" w:lineRule="auto"/>
              <w:jc w:val="left"/>
            </w:pPr>
          </w:p>
        </w:tc>
      </w:tr>
      <w:tr w14:paraId="23933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89" w:type="pct"/>
            <w:tcBorders>
              <w:top w:val="single" w:color="auto" w:sz="4" w:space="0"/>
              <w:left w:val="single" w:color="auto" w:sz="4" w:space="0"/>
              <w:bottom w:val="single" w:color="auto" w:sz="4" w:space="0"/>
              <w:right w:val="single" w:color="auto" w:sz="4" w:space="0"/>
            </w:tcBorders>
            <w:vAlign w:val="center"/>
          </w:tcPr>
          <w:p w14:paraId="6028D653">
            <w:pPr>
              <w:spacing w:line="240" w:lineRule="auto"/>
              <w:jc w:val="center"/>
            </w:pPr>
            <w:r>
              <w:t>P0</w:t>
            </w:r>
          </w:p>
        </w:tc>
        <w:tc>
          <w:tcPr>
            <w:tcW w:w="365" w:type="pct"/>
            <w:tcBorders>
              <w:top w:val="single" w:color="auto" w:sz="4" w:space="0"/>
              <w:left w:val="nil"/>
              <w:bottom w:val="single" w:color="auto" w:sz="4" w:space="0"/>
              <w:right w:val="single" w:color="auto" w:sz="4" w:space="0"/>
            </w:tcBorders>
            <w:vAlign w:val="center"/>
          </w:tcPr>
          <w:p w14:paraId="19B31555">
            <w:pPr>
              <w:spacing w:line="240" w:lineRule="auto"/>
              <w:jc w:val="center"/>
            </w:pPr>
            <w:r>
              <w:t>100</w:t>
            </w:r>
          </w:p>
        </w:tc>
        <w:tc>
          <w:tcPr>
            <w:tcW w:w="331" w:type="pct"/>
            <w:tcBorders>
              <w:top w:val="single" w:color="auto" w:sz="4" w:space="0"/>
              <w:left w:val="nil"/>
              <w:bottom w:val="single" w:color="auto" w:sz="4" w:space="0"/>
              <w:right w:val="single" w:color="auto" w:sz="4" w:space="0"/>
            </w:tcBorders>
            <w:vAlign w:val="center"/>
          </w:tcPr>
          <w:p w14:paraId="064615EE">
            <w:pPr>
              <w:spacing w:line="240" w:lineRule="auto"/>
              <w:jc w:val="center"/>
            </w:pPr>
            <w:r>
              <w:t>/</w:t>
            </w:r>
          </w:p>
        </w:tc>
        <w:tc>
          <w:tcPr>
            <w:tcW w:w="972" w:type="pct"/>
            <w:tcBorders>
              <w:top w:val="single" w:color="auto" w:sz="4" w:space="0"/>
              <w:left w:val="nil"/>
              <w:bottom w:val="single" w:color="auto" w:sz="4" w:space="0"/>
              <w:right w:val="single" w:color="auto" w:sz="4" w:space="0"/>
            </w:tcBorders>
            <w:vAlign w:val="center"/>
          </w:tcPr>
          <w:p w14:paraId="49C3F9D7">
            <w:pPr>
              <w:spacing w:line="240" w:lineRule="auto"/>
              <w:jc w:val="center"/>
            </w:pPr>
            <w:r>
              <w:t>/</w:t>
            </w:r>
          </w:p>
        </w:tc>
        <w:tc>
          <w:tcPr>
            <w:tcW w:w="486" w:type="pct"/>
            <w:tcBorders>
              <w:top w:val="single" w:color="auto" w:sz="4" w:space="0"/>
              <w:left w:val="nil"/>
              <w:bottom w:val="single" w:color="auto" w:sz="4" w:space="0"/>
              <w:right w:val="single" w:color="auto" w:sz="4" w:space="0"/>
            </w:tcBorders>
            <w:vAlign w:val="center"/>
          </w:tcPr>
          <w:p w14:paraId="7E5497A6">
            <w:pPr>
              <w:spacing w:line="240" w:lineRule="auto"/>
              <w:jc w:val="center"/>
            </w:pPr>
            <w:r>
              <w:t>/</w:t>
            </w:r>
          </w:p>
        </w:tc>
        <w:tc>
          <w:tcPr>
            <w:tcW w:w="812" w:type="pct"/>
            <w:tcBorders>
              <w:top w:val="single" w:color="auto" w:sz="4" w:space="0"/>
              <w:left w:val="nil"/>
              <w:bottom w:val="single" w:color="auto" w:sz="4" w:space="0"/>
              <w:right w:val="single" w:color="auto" w:sz="4" w:space="0"/>
            </w:tcBorders>
            <w:vAlign w:val="center"/>
          </w:tcPr>
          <w:p w14:paraId="0E4AC6C0">
            <w:pPr>
              <w:spacing w:line="240" w:lineRule="auto"/>
              <w:jc w:val="center"/>
            </w:pPr>
            <w:r>
              <w:t>26.4</w:t>
            </w:r>
          </w:p>
        </w:tc>
        <w:tc>
          <w:tcPr>
            <w:tcW w:w="567" w:type="pct"/>
            <w:tcBorders>
              <w:top w:val="single" w:color="auto" w:sz="4" w:space="0"/>
              <w:left w:val="nil"/>
              <w:bottom w:val="single" w:color="auto" w:sz="4" w:space="0"/>
              <w:right w:val="single" w:color="auto" w:sz="4" w:space="0"/>
            </w:tcBorders>
            <w:vAlign w:val="center"/>
          </w:tcPr>
          <w:p w14:paraId="65B76893">
            <w:pPr>
              <w:spacing w:line="240" w:lineRule="auto"/>
              <w:jc w:val="center"/>
            </w:pPr>
            <w:r>
              <w:t>173</w:t>
            </w:r>
          </w:p>
        </w:tc>
        <w:tc>
          <w:tcPr>
            <w:tcW w:w="568" w:type="pct"/>
            <w:tcBorders>
              <w:top w:val="single" w:color="auto" w:sz="4" w:space="0"/>
              <w:left w:val="nil"/>
              <w:bottom w:val="single" w:color="auto" w:sz="4" w:space="0"/>
              <w:right w:val="single" w:color="auto" w:sz="4" w:space="0"/>
            </w:tcBorders>
            <w:vAlign w:val="center"/>
          </w:tcPr>
          <w:p w14:paraId="4833AB6A">
            <w:pPr>
              <w:spacing w:line="240" w:lineRule="auto"/>
              <w:jc w:val="center"/>
            </w:pPr>
            <w:r>
              <w:t>236</w:t>
            </w:r>
          </w:p>
        </w:tc>
        <w:tc>
          <w:tcPr>
            <w:tcW w:w="510" w:type="pct"/>
            <w:tcBorders>
              <w:top w:val="single" w:color="auto" w:sz="4" w:space="0"/>
              <w:left w:val="nil"/>
              <w:bottom w:val="single" w:color="auto" w:sz="4" w:space="0"/>
              <w:right w:val="single" w:color="auto" w:sz="4" w:space="0"/>
            </w:tcBorders>
            <w:vAlign w:val="center"/>
          </w:tcPr>
          <w:p w14:paraId="0143DD73">
            <w:pPr>
              <w:spacing w:line="240" w:lineRule="auto"/>
              <w:jc w:val="center"/>
            </w:pPr>
            <w:r>
              <w:t>/</w:t>
            </w:r>
          </w:p>
        </w:tc>
      </w:tr>
      <w:tr w14:paraId="52256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89" w:type="pct"/>
            <w:tcBorders>
              <w:top w:val="single" w:color="auto" w:sz="4" w:space="0"/>
              <w:left w:val="single" w:color="auto" w:sz="4" w:space="0"/>
              <w:bottom w:val="single" w:color="auto" w:sz="4" w:space="0"/>
              <w:right w:val="single" w:color="auto" w:sz="4" w:space="0"/>
            </w:tcBorders>
            <w:vAlign w:val="center"/>
          </w:tcPr>
          <w:p w14:paraId="61270FB1">
            <w:pPr>
              <w:spacing w:line="240" w:lineRule="auto"/>
              <w:jc w:val="center"/>
            </w:pPr>
            <w:r>
              <w:t>PFY1</w:t>
            </w:r>
          </w:p>
        </w:tc>
        <w:tc>
          <w:tcPr>
            <w:tcW w:w="365" w:type="pct"/>
            <w:tcBorders>
              <w:top w:val="single" w:color="auto" w:sz="4" w:space="0"/>
              <w:left w:val="nil"/>
              <w:bottom w:val="single" w:color="auto" w:sz="4" w:space="0"/>
              <w:right w:val="single" w:color="auto" w:sz="4" w:space="0"/>
            </w:tcBorders>
            <w:vAlign w:val="center"/>
          </w:tcPr>
          <w:p w14:paraId="3291DD85">
            <w:pPr>
              <w:spacing w:line="240" w:lineRule="auto"/>
              <w:jc w:val="center"/>
            </w:pPr>
            <w:r>
              <w:t>95</w:t>
            </w:r>
          </w:p>
        </w:tc>
        <w:tc>
          <w:tcPr>
            <w:tcW w:w="331" w:type="pct"/>
            <w:tcBorders>
              <w:top w:val="single" w:color="auto" w:sz="4" w:space="0"/>
              <w:left w:val="nil"/>
              <w:bottom w:val="single" w:color="auto" w:sz="4" w:space="0"/>
              <w:right w:val="single" w:color="auto" w:sz="4" w:space="0"/>
            </w:tcBorders>
            <w:vAlign w:val="center"/>
          </w:tcPr>
          <w:p w14:paraId="20EBFBCE">
            <w:pPr>
              <w:spacing w:line="240" w:lineRule="auto"/>
              <w:jc w:val="center"/>
            </w:pPr>
            <w:r>
              <w:t>5</w:t>
            </w:r>
          </w:p>
        </w:tc>
        <w:tc>
          <w:tcPr>
            <w:tcW w:w="972" w:type="pct"/>
            <w:tcBorders>
              <w:top w:val="single" w:color="auto" w:sz="4" w:space="0"/>
              <w:left w:val="nil"/>
              <w:bottom w:val="single" w:color="auto" w:sz="4" w:space="0"/>
              <w:right w:val="single" w:color="auto" w:sz="4" w:space="0"/>
            </w:tcBorders>
            <w:vAlign w:val="center"/>
          </w:tcPr>
          <w:p w14:paraId="1827C210">
            <w:pPr>
              <w:spacing w:line="240" w:lineRule="auto"/>
              <w:jc w:val="center"/>
            </w:pPr>
            <w:r>
              <w:t>/</w:t>
            </w:r>
          </w:p>
        </w:tc>
        <w:tc>
          <w:tcPr>
            <w:tcW w:w="486" w:type="pct"/>
            <w:tcBorders>
              <w:top w:val="single" w:color="auto" w:sz="4" w:space="0"/>
              <w:left w:val="nil"/>
              <w:bottom w:val="single" w:color="auto" w:sz="4" w:space="0"/>
              <w:right w:val="single" w:color="auto" w:sz="4" w:space="0"/>
            </w:tcBorders>
            <w:vAlign w:val="center"/>
          </w:tcPr>
          <w:p w14:paraId="484CAA71">
            <w:pPr>
              <w:spacing w:line="240" w:lineRule="auto"/>
              <w:jc w:val="center"/>
            </w:pPr>
            <w:r>
              <w:t>/</w:t>
            </w:r>
          </w:p>
        </w:tc>
        <w:tc>
          <w:tcPr>
            <w:tcW w:w="812" w:type="pct"/>
            <w:tcBorders>
              <w:top w:val="single" w:color="auto" w:sz="4" w:space="0"/>
              <w:left w:val="nil"/>
              <w:bottom w:val="single" w:color="auto" w:sz="4" w:space="0"/>
              <w:right w:val="single" w:color="auto" w:sz="4" w:space="0"/>
            </w:tcBorders>
            <w:vAlign w:val="center"/>
          </w:tcPr>
          <w:p w14:paraId="40338798">
            <w:pPr>
              <w:spacing w:line="240" w:lineRule="auto"/>
              <w:jc w:val="center"/>
            </w:pPr>
            <w:r>
              <w:t>26.2</w:t>
            </w:r>
          </w:p>
        </w:tc>
        <w:tc>
          <w:tcPr>
            <w:tcW w:w="567" w:type="pct"/>
            <w:tcBorders>
              <w:top w:val="single" w:color="auto" w:sz="4" w:space="0"/>
              <w:left w:val="nil"/>
              <w:bottom w:val="single" w:color="auto" w:sz="4" w:space="0"/>
              <w:right w:val="single" w:color="auto" w:sz="4" w:space="0"/>
            </w:tcBorders>
            <w:vAlign w:val="center"/>
          </w:tcPr>
          <w:p w14:paraId="13E5A431">
            <w:pPr>
              <w:spacing w:line="240" w:lineRule="auto"/>
              <w:jc w:val="center"/>
            </w:pPr>
            <w:r>
              <w:t>170</w:t>
            </w:r>
          </w:p>
        </w:tc>
        <w:tc>
          <w:tcPr>
            <w:tcW w:w="568" w:type="pct"/>
            <w:tcBorders>
              <w:top w:val="single" w:color="auto" w:sz="4" w:space="0"/>
              <w:left w:val="nil"/>
              <w:bottom w:val="single" w:color="auto" w:sz="4" w:space="0"/>
              <w:right w:val="single" w:color="auto" w:sz="4" w:space="0"/>
            </w:tcBorders>
            <w:vAlign w:val="center"/>
          </w:tcPr>
          <w:p w14:paraId="6BD8BAB3">
            <w:pPr>
              <w:spacing w:line="240" w:lineRule="auto"/>
              <w:jc w:val="center"/>
            </w:pPr>
            <w:r>
              <w:t>250</w:t>
            </w:r>
          </w:p>
        </w:tc>
        <w:tc>
          <w:tcPr>
            <w:tcW w:w="510" w:type="pct"/>
            <w:tcBorders>
              <w:top w:val="single" w:color="auto" w:sz="4" w:space="0"/>
              <w:left w:val="nil"/>
              <w:bottom w:val="single" w:color="auto" w:sz="4" w:space="0"/>
              <w:right w:val="single" w:color="auto" w:sz="4" w:space="0"/>
            </w:tcBorders>
            <w:vAlign w:val="center"/>
          </w:tcPr>
          <w:p w14:paraId="747F4921">
            <w:pPr>
              <w:spacing w:line="240" w:lineRule="auto"/>
              <w:jc w:val="center"/>
            </w:pPr>
            <w:r>
              <w:t>/</w:t>
            </w:r>
          </w:p>
        </w:tc>
      </w:tr>
      <w:tr w14:paraId="68FE7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89" w:type="pct"/>
            <w:tcBorders>
              <w:top w:val="single" w:color="auto" w:sz="4" w:space="0"/>
              <w:left w:val="single" w:color="auto" w:sz="4" w:space="0"/>
              <w:bottom w:val="single" w:color="auto" w:sz="4" w:space="0"/>
              <w:right w:val="single" w:color="auto" w:sz="4" w:space="0"/>
            </w:tcBorders>
            <w:vAlign w:val="center"/>
          </w:tcPr>
          <w:p w14:paraId="00777A47">
            <w:pPr>
              <w:spacing w:line="240" w:lineRule="auto"/>
              <w:jc w:val="center"/>
            </w:pPr>
            <w:r>
              <w:t>PFY2</w:t>
            </w:r>
          </w:p>
        </w:tc>
        <w:tc>
          <w:tcPr>
            <w:tcW w:w="365" w:type="pct"/>
            <w:tcBorders>
              <w:top w:val="single" w:color="auto" w:sz="4" w:space="0"/>
              <w:left w:val="nil"/>
              <w:bottom w:val="single" w:color="auto" w:sz="4" w:space="0"/>
              <w:right w:val="single" w:color="auto" w:sz="4" w:space="0"/>
            </w:tcBorders>
            <w:vAlign w:val="center"/>
          </w:tcPr>
          <w:p w14:paraId="029AB197">
            <w:pPr>
              <w:spacing w:line="240" w:lineRule="auto"/>
              <w:jc w:val="center"/>
            </w:pPr>
            <w:r>
              <w:t>85</w:t>
            </w:r>
          </w:p>
        </w:tc>
        <w:tc>
          <w:tcPr>
            <w:tcW w:w="331" w:type="pct"/>
            <w:tcBorders>
              <w:top w:val="single" w:color="auto" w:sz="4" w:space="0"/>
              <w:left w:val="nil"/>
              <w:bottom w:val="single" w:color="auto" w:sz="4" w:space="0"/>
              <w:right w:val="single" w:color="auto" w:sz="4" w:space="0"/>
            </w:tcBorders>
            <w:vAlign w:val="center"/>
          </w:tcPr>
          <w:p w14:paraId="039B9F63">
            <w:pPr>
              <w:spacing w:line="240" w:lineRule="auto"/>
              <w:jc w:val="center"/>
            </w:pPr>
            <w:r>
              <w:t>15</w:t>
            </w:r>
          </w:p>
        </w:tc>
        <w:tc>
          <w:tcPr>
            <w:tcW w:w="972" w:type="pct"/>
            <w:tcBorders>
              <w:top w:val="single" w:color="auto" w:sz="4" w:space="0"/>
              <w:left w:val="nil"/>
              <w:bottom w:val="single" w:color="auto" w:sz="4" w:space="0"/>
              <w:right w:val="single" w:color="auto" w:sz="4" w:space="0"/>
            </w:tcBorders>
            <w:vAlign w:val="center"/>
          </w:tcPr>
          <w:p w14:paraId="043E5A6B">
            <w:pPr>
              <w:spacing w:line="240" w:lineRule="auto"/>
              <w:jc w:val="center"/>
            </w:pPr>
            <w:r>
              <w:t>/</w:t>
            </w:r>
          </w:p>
        </w:tc>
        <w:tc>
          <w:tcPr>
            <w:tcW w:w="486" w:type="pct"/>
            <w:tcBorders>
              <w:top w:val="single" w:color="auto" w:sz="4" w:space="0"/>
              <w:left w:val="nil"/>
              <w:bottom w:val="single" w:color="auto" w:sz="4" w:space="0"/>
              <w:right w:val="single" w:color="auto" w:sz="4" w:space="0"/>
            </w:tcBorders>
            <w:vAlign w:val="center"/>
          </w:tcPr>
          <w:p w14:paraId="671F5D9C">
            <w:pPr>
              <w:spacing w:line="240" w:lineRule="auto"/>
              <w:jc w:val="center"/>
            </w:pPr>
            <w:r>
              <w:t>/</w:t>
            </w:r>
          </w:p>
        </w:tc>
        <w:tc>
          <w:tcPr>
            <w:tcW w:w="812" w:type="pct"/>
            <w:tcBorders>
              <w:top w:val="single" w:color="auto" w:sz="4" w:space="0"/>
              <w:left w:val="nil"/>
              <w:bottom w:val="single" w:color="auto" w:sz="4" w:space="0"/>
              <w:right w:val="single" w:color="auto" w:sz="4" w:space="0"/>
            </w:tcBorders>
            <w:vAlign w:val="center"/>
          </w:tcPr>
          <w:p w14:paraId="395706E5">
            <w:pPr>
              <w:spacing w:line="240" w:lineRule="auto"/>
              <w:jc w:val="center"/>
            </w:pPr>
            <w:r>
              <w:t>25.4</w:t>
            </w:r>
          </w:p>
        </w:tc>
        <w:tc>
          <w:tcPr>
            <w:tcW w:w="567" w:type="pct"/>
            <w:tcBorders>
              <w:top w:val="single" w:color="auto" w:sz="4" w:space="0"/>
              <w:left w:val="nil"/>
              <w:bottom w:val="single" w:color="auto" w:sz="4" w:space="0"/>
              <w:right w:val="single" w:color="auto" w:sz="4" w:space="0"/>
            </w:tcBorders>
            <w:vAlign w:val="center"/>
          </w:tcPr>
          <w:p w14:paraId="5AB04074">
            <w:pPr>
              <w:spacing w:line="240" w:lineRule="auto"/>
              <w:jc w:val="center"/>
            </w:pPr>
            <w:r>
              <w:t>161</w:t>
            </w:r>
          </w:p>
        </w:tc>
        <w:tc>
          <w:tcPr>
            <w:tcW w:w="568" w:type="pct"/>
            <w:tcBorders>
              <w:top w:val="single" w:color="auto" w:sz="4" w:space="0"/>
              <w:left w:val="nil"/>
              <w:bottom w:val="single" w:color="auto" w:sz="4" w:space="0"/>
              <w:right w:val="single" w:color="auto" w:sz="4" w:space="0"/>
            </w:tcBorders>
            <w:vAlign w:val="center"/>
          </w:tcPr>
          <w:p w14:paraId="36A583FF">
            <w:pPr>
              <w:spacing w:line="240" w:lineRule="auto"/>
              <w:jc w:val="center"/>
            </w:pPr>
            <w:r>
              <w:t>241</w:t>
            </w:r>
          </w:p>
        </w:tc>
        <w:tc>
          <w:tcPr>
            <w:tcW w:w="510" w:type="pct"/>
            <w:tcBorders>
              <w:top w:val="single" w:color="auto" w:sz="4" w:space="0"/>
              <w:left w:val="nil"/>
              <w:bottom w:val="single" w:color="auto" w:sz="4" w:space="0"/>
              <w:right w:val="single" w:color="auto" w:sz="4" w:space="0"/>
            </w:tcBorders>
            <w:vAlign w:val="center"/>
          </w:tcPr>
          <w:p w14:paraId="06C5B005">
            <w:pPr>
              <w:spacing w:line="240" w:lineRule="auto"/>
              <w:jc w:val="center"/>
            </w:pPr>
            <w:r>
              <w:t>/</w:t>
            </w:r>
          </w:p>
        </w:tc>
      </w:tr>
      <w:tr w14:paraId="3B19C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89" w:type="pct"/>
            <w:tcBorders>
              <w:top w:val="single" w:color="auto" w:sz="4" w:space="0"/>
              <w:left w:val="single" w:color="auto" w:sz="4" w:space="0"/>
              <w:bottom w:val="single" w:color="auto" w:sz="4" w:space="0"/>
              <w:right w:val="single" w:color="auto" w:sz="4" w:space="0"/>
            </w:tcBorders>
            <w:vAlign w:val="center"/>
          </w:tcPr>
          <w:p w14:paraId="050B4534">
            <w:pPr>
              <w:spacing w:line="240" w:lineRule="auto"/>
              <w:jc w:val="center"/>
            </w:pPr>
            <w:r>
              <w:t>PFY3</w:t>
            </w:r>
          </w:p>
        </w:tc>
        <w:tc>
          <w:tcPr>
            <w:tcW w:w="365" w:type="pct"/>
            <w:tcBorders>
              <w:top w:val="single" w:color="auto" w:sz="4" w:space="0"/>
              <w:left w:val="nil"/>
              <w:bottom w:val="single" w:color="auto" w:sz="4" w:space="0"/>
              <w:right w:val="single" w:color="auto" w:sz="4" w:space="0"/>
            </w:tcBorders>
            <w:vAlign w:val="center"/>
          </w:tcPr>
          <w:p w14:paraId="1C6A881A">
            <w:pPr>
              <w:spacing w:line="240" w:lineRule="auto"/>
              <w:jc w:val="center"/>
            </w:pPr>
            <w:r>
              <w:t>75</w:t>
            </w:r>
          </w:p>
        </w:tc>
        <w:tc>
          <w:tcPr>
            <w:tcW w:w="331" w:type="pct"/>
            <w:tcBorders>
              <w:top w:val="single" w:color="auto" w:sz="4" w:space="0"/>
              <w:left w:val="nil"/>
              <w:bottom w:val="single" w:color="auto" w:sz="4" w:space="0"/>
              <w:right w:val="single" w:color="auto" w:sz="4" w:space="0"/>
            </w:tcBorders>
            <w:vAlign w:val="center"/>
          </w:tcPr>
          <w:p w14:paraId="3DF4075E">
            <w:pPr>
              <w:spacing w:line="240" w:lineRule="auto"/>
              <w:jc w:val="center"/>
            </w:pPr>
            <w:r>
              <w:t>25</w:t>
            </w:r>
          </w:p>
        </w:tc>
        <w:tc>
          <w:tcPr>
            <w:tcW w:w="972" w:type="pct"/>
            <w:tcBorders>
              <w:top w:val="single" w:color="auto" w:sz="4" w:space="0"/>
              <w:left w:val="nil"/>
              <w:bottom w:val="single" w:color="auto" w:sz="4" w:space="0"/>
              <w:right w:val="single" w:color="auto" w:sz="4" w:space="0"/>
            </w:tcBorders>
            <w:vAlign w:val="center"/>
          </w:tcPr>
          <w:p w14:paraId="55CB6448">
            <w:pPr>
              <w:spacing w:line="240" w:lineRule="auto"/>
              <w:jc w:val="center"/>
            </w:pPr>
            <w:r>
              <w:t>/</w:t>
            </w:r>
          </w:p>
        </w:tc>
        <w:tc>
          <w:tcPr>
            <w:tcW w:w="486" w:type="pct"/>
            <w:tcBorders>
              <w:top w:val="single" w:color="auto" w:sz="4" w:space="0"/>
              <w:left w:val="nil"/>
              <w:bottom w:val="single" w:color="auto" w:sz="4" w:space="0"/>
              <w:right w:val="single" w:color="auto" w:sz="4" w:space="0"/>
            </w:tcBorders>
            <w:vAlign w:val="center"/>
          </w:tcPr>
          <w:p w14:paraId="76D314C4">
            <w:pPr>
              <w:spacing w:line="240" w:lineRule="auto"/>
              <w:jc w:val="center"/>
            </w:pPr>
            <w:r>
              <w:t>/</w:t>
            </w:r>
          </w:p>
        </w:tc>
        <w:tc>
          <w:tcPr>
            <w:tcW w:w="812" w:type="pct"/>
            <w:tcBorders>
              <w:top w:val="single" w:color="auto" w:sz="4" w:space="0"/>
              <w:left w:val="nil"/>
              <w:bottom w:val="single" w:color="auto" w:sz="4" w:space="0"/>
              <w:right w:val="single" w:color="auto" w:sz="4" w:space="0"/>
            </w:tcBorders>
            <w:vAlign w:val="center"/>
          </w:tcPr>
          <w:p w14:paraId="1AD091A6">
            <w:pPr>
              <w:spacing w:line="240" w:lineRule="auto"/>
              <w:jc w:val="center"/>
            </w:pPr>
            <w:r>
              <w:t>25.2</w:t>
            </w:r>
          </w:p>
        </w:tc>
        <w:tc>
          <w:tcPr>
            <w:tcW w:w="567" w:type="pct"/>
            <w:tcBorders>
              <w:top w:val="single" w:color="auto" w:sz="4" w:space="0"/>
              <w:left w:val="nil"/>
              <w:bottom w:val="single" w:color="auto" w:sz="4" w:space="0"/>
              <w:right w:val="single" w:color="auto" w:sz="4" w:space="0"/>
            </w:tcBorders>
            <w:vAlign w:val="center"/>
          </w:tcPr>
          <w:p w14:paraId="4E705D41">
            <w:pPr>
              <w:spacing w:line="240" w:lineRule="auto"/>
              <w:jc w:val="center"/>
            </w:pPr>
            <w:r>
              <w:t>191</w:t>
            </w:r>
          </w:p>
        </w:tc>
        <w:tc>
          <w:tcPr>
            <w:tcW w:w="568" w:type="pct"/>
            <w:tcBorders>
              <w:top w:val="single" w:color="auto" w:sz="4" w:space="0"/>
              <w:left w:val="nil"/>
              <w:bottom w:val="single" w:color="auto" w:sz="4" w:space="0"/>
              <w:right w:val="single" w:color="auto" w:sz="4" w:space="0"/>
            </w:tcBorders>
            <w:vAlign w:val="center"/>
          </w:tcPr>
          <w:p w14:paraId="47B6592F">
            <w:pPr>
              <w:spacing w:line="240" w:lineRule="auto"/>
              <w:jc w:val="center"/>
            </w:pPr>
            <w:r>
              <w:t>254</w:t>
            </w:r>
          </w:p>
        </w:tc>
        <w:tc>
          <w:tcPr>
            <w:tcW w:w="510" w:type="pct"/>
            <w:tcBorders>
              <w:top w:val="single" w:color="auto" w:sz="4" w:space="0"/>
              <w:left w:val="nil"/>
              <w:bottom w:val="single" w:color="auto" w:sz="4" w:space="0"/>
              <w:right w:val="single" w:color="auto" w:sz="4" w:space="0"/>
            </w:tcBorders>
            <w:vAlign w:val="center"/>
          </w:tcPr>
          <w:p w14:paraId="3988405C">
            <w:pPr>
              <w:spacing w:line="240" w:lineRule="auto"/>
              <w:jc w:val="center"/>
            </w:pPr>
            <w:r>
              <w:t>合格</w:t>
            </w:r>
          </w:p>
        </w:tc>
      </w:tr>
      <w:tr w14:paraId="1BFBC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89" w:type="pct"/>
            <w:tcBorders>
              <w:top w:val="single" w:color="auto" w:sz="4" w:space="0"/>
              <w:left w:val="single" w:color="auto" w:sz="4" w:space="0"/>
              <w:bottom w:val="single" w:color="auto" w:sz="4" w:space="0"/>
              <w:right w:val="single" w:color="auto" w:sz="4" w:space="0"/>
            </w:tcBorders>
            <w:vAlign w:val="center"/>
          </w:tcPr>
          <w:p w14:paraId="67C95A32">
            <w:pPr>
              <w:spacing w:line="240" w:lineRule="auto"/>
              <w:jc w:val="center"/>
            </w:pPr>
            <w:r>
              <w:t>PFY4</w:t>
            </w:r>
          </w:p>
        </w:tc>
        <w:tc>
          <w:tcPr>
            <w:tcW w:w="365" w:type="pct"/>
            <w:tcBorders>
              <w:top w:val="single" w:color="auto" w:sz="4" w:space="0"/>
              <w:left w:val="nil"/>
              <w:bottom w:val="single" w:color="auto" w:sz="4" w:space="0"/>
              <w:right w:val="single" w:color="auto" w:sz="4" w:space="0"/>
            </w:tcBorders>
            <w:vAlign w:val="center"/>
          </w:tcPr>
          <w:p w14:paraId="32961E9C">
            <w:pPr>
              <w:spacing w:line="240" w:lineRule="auto"/>
              <w:jc w:val="center"/>
            </w:pPr>
            <w:r>
              <w:t>65</w:t>
            </w:r>
          </w:p>
        </w:tc>
        <w:tc>
          <w:tcPr>
            <w:tcW w:w="331" w:type="pct"/>
            <w:tcBorders>
              <w:top w:val="single" w:color="auto" w:sz="4" w:space="0"/>
              <w:left w:val="nil"/>
              <w:bottom w:val="single" w:color="auto" w:sz="4" w:space="0"/>
              <w:right w:val="single" w:color="auto" w:sz="4" w:space="0"/>
            </w:tcBorders>
            <w:vAlign w:val="center"/>
          </w:tcPr>
          <w:p w14:paraId="44211678">
            <w:pPr>
              <w:spacing w:line="240" w:lineRule="auto"/>
              <w:jc w:val="center"/>
            </w:pPr>
            <w:r>
              <w:t>35</w:t>
            </w:r>
          </w:p>
        </w:tc>
        <w:tc>
          <w:tcPr>
            <w:tcW w:w="972" w:type="pct"/>
            <w:tcBorders>
              <w:top w:val="single" w:color="auto" w:sz="4" w:space="0"/>
              <w:left w:val="nil"/>
              <w:bottom w:val="single" w:color="auto" w:sz="4" w:space="0"/>
              <w:right w:val="single" w:color="auto" w:sz="4" w:space="0"/>
            </w:tcBorders>
            <w:vAlign w:val="center"/>
          </w:tcPr>
          <w:p w14:paraId="4467E497">
            <w:pPr>
              <w:spacing w:line="240" w:lineRule="auto"/>
              <w:jc w:val="center"/>
            </w:pPr>
            <w:r>
              <w:t>/</w:t>
            </w:r>
          </w:p>
        </w:tc>
        <w:tc>
          <w:tcPr>
            <w:tcW w:w="486" w:type="pct"/>
            <w:tcBorders>
              <w:top w:val="single" w:color="auto" w:sz="4" w:space="0"/>
              <w:left w:val="nil"/>
              <w:bottom w:val="single" w:color="auto" w:sz="4" w:space="0"/>
              <w:right w:val="single" w:color="auto" w:sz="4" w:space="0"/>
            </w:tcBorders>
            <w:vAlign w:val="center"/>
          </w:tcPr>
          <w:p w14:paraId="60B95D61">
            <w:pPr>
              <w:spacing w:line="240" w:lineRule="auto"/>
              <w:jc w:val="center"/>
            </w:pPr>
            <w:r>
              <w:t>/</w:t>
            </w:r>
          </w:p>
        </w:tc>
        <w:tc>
          <w:tcPr>
            <w:tcW w:w="812" w:type="pct"/>
            <w:tcBorders>
              <w:top w:val="single" w:color="auto" w:sz="4" w:space="0"/>
              <w:left w:val="nil"/>
              <w:bottom w:val="single" w:color="auto" w:sz="4" w:space="0"/>
              <w:right w:val="single" w:color="auto" w:sz="4" w:space="0"/>
            </w:tcBorders>
            <w:vAlign w:val="center"/>
          </w:tcPr>
          <w:p w14:paraId="42403AFD">
            <w:pPr>
              <w:spacing w:line="240" w:lineRule="auto"/>
              <w:jc w:val="center"/>
            </w:pPr>
            <w:r>
              <w:t>25.0</w:t>
            </w:r>
          </w:p>
        </w:tc>
        <w:tc>
          <w:tcPr>
            <w:tcW w:w="567" w:type="pct"/>
            <w:tcBorders>
              <w:top w:val="single" w:color="auto" w:sz="4" w:space="0"/>
              <w:left w:val="nil"/>
              <w:bottom w:val="single" w:color="auto" w:sz="4" w:space="0"/>
              <w:right w:val="single" w:color="auto" w:sz="4" w:space="0"/>
            </w:tcBorders>
            <w:vAlign w:val="center"/>
          </w:tcPr>
          <w:p w14:paraId="3523D334">
            <w:pPr>
              <w:spacing w:line="240" w:lineRule="auto"/>
              <w:jc w:val="center"/>
            </w:pPr>
            <w:r>
              <w:t>208</w:t>
            </w:r>
          </w:p>
        </w:tc>
        <w:tc>
          <w:tcPr>
            <w:tcW w:w="568" w:type="pct"/>
            <w:tcBorders>
              <w:top w:val="single" w:color="auto" w:sz="4" w:space="0"/>
              <w:left w:val="nil"/>
              <w:bottom w:val="single" w:color="auto" w:sz="4" w:space="0"/>
              <w:right w:val="single" w:color="auto" w:sz="4" w:space="0"/>
            </w:tcBorders>
            <w:vAlign w:val="center"/>
          </w:tcPr>
          <w:p w14:paraId="3A6A3CD2">
            <w:pPr>
              <w:spacing w:line="240" w:lineRule="auto"/>
              <w:jc w:val="center"/>
            </w:pPr>
            <w:r>
              <w:t>275</w:t>
            </w:r>
          </w:p>
        </w:tc>
        <w:tc>
          <w:tcPr>
            <w:tcW w:w="510" w:type="pct"/>
            <w:tcBorders>
              <w:top w:val="single" w:color="auto" w:sz="4" w:space="0"/>
              <w:left w:val="nil"/>
              <w:bottom w:val="single" w:color="auto" w:sz="4" w:space="0"/>
              <w:right w:val="single" w:color="auto" w:sz="4" w:space="0"/>
            </w:tcBorders>
            <w:vAlign w:val="center"/>
          </w:tcPr>
          <w:p w14:paraId="18AC1058">
            <w:pPr>
              <w:spacing w:line="240" w:lineRule="auto"/>
              <w:jc w:val="center"/>
            </w:pPr>
            <w:r>
              <w:t>/</w:t>
            </w:r>
          </w:p>
        </w:tc>
      </w:tr>
      <w:tr w14:paraId="7507F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89" w:type="pct"/>
            <w:tcBorders>
              <w:top w:val="single" w:color="auto" w:sz="4" w:space="0"/>
              <w:left w:val="single" w:color="auto" w:sz="4" w:space="0"/>
              <w:bottom w:val="single" w:color="auto" w:sz="4" w:space="0"/>
              <w:right w:val="single" w:color="auto" w:sz="4" w:space="0"/>
            </w:tcBorders>
            <w:vAlign w:val="center"/>
          </w:tcPr>
          <w:p w14:paraId="243975E7">
            <w:pPr>
              <w:spacing w:line="240" w:lineRule="auto"/>
              <w:jc w:val="center"/>
            </w:pPr>
            <w:r>
              <w:t>PFW1</w:t>
            </w:r>
          </w:p>
        </w:tc>
        <w:tc>
          <w:tcPr>
            <w:tcW w:w="365" w:type="pct"/>
            <w:tcBorders>
              <w:top w:val="single" w:color="auto" w:sz="4" w:space="0"/>
              <w:left w:val="nil"/>
              <w:bottom w:val="single" w:color="auto" w:sz="4" w:space="0"/>
              <w:right w:val="single" w:color="auto" w:sz="4" w:space="0"/>
            </w:tcBorders>
            <w:vAlign w:val="center"/>
          </w:tcPr>
          <w:p w14:paraId="4B6CF4EF">
            <w:pPr>
              <w:spacing w:line="240" w:lineRule="auto"/>
              <w:jc w:val="center"/>
            </w:pPr>
            <w:r>
              <w:t>95</w:t>
            </w:r>
          </w:p>
        </w:tc>
        <w:tc>
          <w:tcPr>
            <w:tcW w:w="331" w:type="pct"/>
            <w:tcBorders>
              <w:top w:val="single" w:color="auto" w:sz="4" w:space="0"/>
              <w:left w:val="nil"/>
              <w:bottom w:val="single" w:color="auto" w:sz="4" w:space="0"/>
              <w:right w:val="single" w:color="auto" w:sz="4" w:space="0"/>
            </w:tcBorders>
            <w:vAlign w:val="center"/>
          </w:tcPr>
          <w:p w14:paraId="2DFD62BF">
            <w:pPr>
              <w:spacing w:line="240" w:lineRule="auto"/>
              <w:jc w:val="center"/>
            </w:pPr>
            <w:r>
              <w:t>/</w:t>
            </w:r>
          </w:p>
        </w:tc>
        <w:tc>
          <w:tcPr>
            <w:tcW w:w="972" w:type="pct"/>
            <w:tcBorders>
              <w:top w:val="single" w:color="auto" w:sz="4" w:space="0"/>
              <w:left w:val="nil"/>
              <w:bottom w:val="single" w:color="auto" w:sz="4" w:space="0"/>
              <w:right w:val="single" w:color="auto" w:sz="4" w:space="0"/>
            </w:tcBorders>
            <w:vAlign w:val="center"/>
          </w:tcPr>
          <w:p w14:paraId="6CC1FEC5">
            <w:pPr>
              <w:spacing w:line="240" w:lineRule="auto"/>
              <w:jc w:val="center"/>
            </w:pPr>
            <w:r>
              <w:t>5</w:t>
            </w:r>
          </w:p>
        </w:tc>
        <w:tc>
          <w:tcPr>
            <w:tcW w:w="486" w:type="pct"/>
            <w:tcBorders>
              <w:top w:val="single" w:color="auto" w:sz="4" w:space="0"/>
              <w:left w:val="nil"/>
              <w:bottom w:val="single" w:color="auto" w:sz="4" w:space="0"/>
              <w:right w:val="single" w:color="auto" w:sz="4" w:space="0"/>
            </w:tcBorders>
            <w:vAlign w:val="center"/>
          </w:tcPr>
          <w:p w14:paraId="6957AD0C">
            <w:pPr>
              <w:spacing w:line="240" w:lineRule="auto"/>
              <w:jc w:val="center"/>
            </w:pPr>
            <w:r>
              <w:t>/</w:t>
            </w:r>
          </w:p>
        </w:tc>
        <w:tc>
          <w:tcPr>
            <w:tcW w:w="812" w:type="pct"/>
            <w:tcBorders>
              <w:top w:val="single" w:color="auto" w:sz="4" w:space="0"/>
              <w:left w:val="nil"/>
              <w:bottom w:val="single" w:color="auto" w:sz="4" w:space="0"/>
              <w:right w:val="single" w:color="auto" w:sz="4" w:space="0"/>
            </w:tcBorders>
            <w:vAlign w:val="center"/>
          </w:tcPr>
          <w:p w14:paraId="63968B56">
            <w:pPr>
              <w:spacing w:line="240" w:lineRule="auto"/>
              <w:jc w:val="center"/>
            </w:pPr>
            <w:r>
              <w:t>26.6</w:t>
            </w:r>
          </w:p>
        </w:tc>
        <w:tc>
          <w:tcPr>
            <w:tcW w:w="567" w:type="pct"/>
            <w:tcBorders>
              <w:top w:val="single" w:color="auto" w:sz="4" w:space="0"/>
              <w:left w:val="nil"/>
              <w:bottom w:val="single" w:color="auto" w:sz="4" w:space="0"/>
              <w:right w:val="single" w:color="auto" w:sz="4" w:space="0"/>
            </w:tcBorders>
            <w:vAlign w:val="center"/>
          </w:tcPr>
          <w:p w14:paraId="216C4440">
            <w:pPr>
              <w:spacing w:line="240" w:lineRule="auto"/>
              <w:jc w:val="center"/>
            </w:pPr>
            <w:r>
              <w:t>183</w:t>
            </w:r>
          </w:p>
        </w:tc>
        <w:tc>
          <w:tcPr>
            <w:tcW w:w="568" w:type="pct"/>
            <w:tcBorders>
              <w:top w:val="single" w:color="auto" w:sz="4" w:space="0"/>
              <w:left w:val="nil"/>
              <w:bottom w:val="single" w:color="auto" w:sz="4" w:space="0"/>
              <w:right w:val="single" w:color="auto" w:sz="4" w:space="0"/>
            </w:tcBorders>
            <w:vAlign w:val="center"/>
          </w:tcPr>
          <w:p w14:paraId="51831534">
            <w:pPr>
              <w:spacing w:line="240" w:lineRule="auto"/>
              <w:jc w:val="center"/>
            </w:pPr>
            <w:r>
              <w:t>242</w:t>
            </w:r>
          </w:p>
        </w:tc>
        <w:tc>
          <w:tcPr>
            <w:tcW w:w="510" w:type="pct"/>
            <w:tcBorders>
              <w:top w:val="single" w:color="auto" w:sz="4" w:space="0"/>
              <w:left w:val="nil"/>
              <w:bottom w:val="single" w:color="auto" w:sz="4" w:space="0"/>
              <w:right w:val="single" w:color="auto" w:sz="4" w:space="0"/>
            </w:tcBorders>
            <w:vAlign w:val="center"/>
          </w:tcPr>
          <w:p w14:paraId="2CD15072">
            <w:pPr>
              <w:spacing w:line="240" w:lineRule="auto"/>
              <w:jc w:val="center"/>
            </w:pPr>
            <w:r>
              <w:t>/</w:t>
            </w:r>
          </w:p>
        </w:tc>
      </w:tr>
      <w:tr w14:paraId="4B554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89" w:type="pct"/>
            <w:tcBorders>
              <w:top w:val="single" w:color="auto" w:sz="4" w:space="0"/>
              <w:left w:val="single" w:color="auto" w:sz="4" w:space="0"/>
              <w:bottom w:val="single" w:color="auto" w:sz="4" w:space="0"/>
              <w:right w:val="single" w:color="auto" w:sz="4" w:space="0"/>
            </w:tcBorders>
            <w:vAlign w:val="center"/>
          </w:tcPr>
          <w:p w14:paraId="4D798210">
            <w:pPr>
              <w:spacing w:line="240" w:lineRule="auto"/>
              <w:jc w:val="center"/>
            </w:pPr>
            <w:r>
              <w:t>PFW2</w:t>
            </w:r>
          </w:p>
        </w:tc>
        <w:tc>
          <w:tcPr>
            <w:tcW w:w="365" w:type="pct"/>
            <w:tcBorders>
              <w:top w:val="single" w:color="auto" w:sz="4" w:space="0"/>
              <w:left w:val="nil"/>
              <w:bottom w:val="single" w:color="auto" w:sz="4" w:space="0"/>
              <w:right w:val="single" w:color="auto" w:sz="4" w:space="0"/>
            </w:tcBorders>
            <w:vAlign w:val="center"/>
          </w:tcPr>
          <w:p w14:paraId="497F7D3F">
            <w:pPr>
              <w:spacing w:line="240" w:lineRule="auto"/>
              <w:jc w:val="center"/>
            </w:pPr>
            <w:r>
              <w:t>85</w:t>
            </w:r>
          </w:p>
        </w:tc>
        <w:tc>
          <w:tcPr>
            <w:tcW w:w="331" w:type="pct"/>
            <w:tcBorders>
              <w:top w:val="single" w:color="auto" w:sz="4" w:space="0"/>
              <w:left w:val="nil"/>
              <w:bottom w:val="single" w:color="auto" w:sz="4" w:space="0"/>
              <w:right w:val="single" w:color="auto" w:sz="4" w:space="0"/>
            </w:tcBorders>
            <w:vAlign w:val="center"/>
          </w:tcPr>
          <w:p w14:paraId="3AF4C722">
            <w:pPr>
              <w:spacing w:line="240" w:lineRule="auto"/>
              <w:jc w:val="center"/>
            </w:pPr>
            <w:r>
              <w:t>/</w:t>
            </w:r>
          </w:p>
        </w:tc>
        <w:tc>
          <w:tcPr>
            <w:tcW w:w="972" w:type="pct"/>
            <w:tcBorders>
              <w:top w:val="single" w:color="auto" w:sz="4" w:space="0"/>
              <w:left w:val="nil"/>
              <w:bottom w:val="single" w:color="auto" w:sz="4" w:space="0"/>
              <w:right w:val="single" w:color="auto" w:sz="4" w:space="0"/>
            </w:tcBorders>
            <w:vAlign w:val="center"/>
          </w:tcPr>
          <w:p w14:paraId="5B8836BF">
            <w:pPr>
              <w:spacing w:line="240" w:lineRule="auto"/>
              <w:jc w:val="center"/>
            </w:pPr>
            <w:r>
              <w:t>15</w:t>
            </w:r>
          </w:p>
        </w:tc>
        <w:tc>
          <w:tcPr>
            <w:tcW w:w="486" w:type="pct"/>
            <w:tcBorders>
              <w:top w:val="single" w:color="auto" w:sz="4" w:space="0"/>
              <w:left w:val="nil"/>
              <w:bottom w:val="single" w:color="auto" w:sz="4" w:space="0"/>
              <w:right w:val="single" w:color="auto" w:sz="4" w:space="0"/>
            </w:tcBorders>
            <w:vAlign w:val="center"/>
          </w:tcPr>
          <w:p w14:paraId="13A91D99">
            <w:pPr>
              <w:spacing w:line="240" w:lineRule="auto"/>
              <w:jc w:val="center"/>
            </w:pPr>
            <w:r>
              <w:t>/</w:t>
            </w:r>
          </w:p>
        </w:tc>
        <w:tc>
          <w:tcPr>
            <w:tcW w:w="812" w:type="pct"/>
            <w:tcBorders>
              <w:top w:val="single" w:color="auto" w:sz="4" w:space="0"/>
              <w:left w:val="nil"/>
              <w:bottom w:val="single" w:color="auto" w:sz="4" w:space="0"/>
              <w:right w:val="single" w:color="auto" w:sz="4" w:space="0"/>
            </w:tcBorders>
            <w:vAlign w:val="center"/>
          </w:tcPr>
          <w:p w14:paraId="59E132C0">
            <w:pPr>
              <w:spacing w:line="240" w:lineRule="auto"/>
              <w:jc w:val="center"/>
            </w:pPr>
            <w:r>
              <w:t>26.8</w:t>
            </w:r>
          </w:p>
        </w:tc>
        <w:tc>
          <w:tcPr>
            <w:tcW w:w="567" w:type="pct"/>
            <w:tcBorders>
              <w:top w:val="single" w:color="auto" w:sz="4" w:space="0"/>
              <w:left w:val="nil"/>
              <w:bottom w:val="single" w:color="auto" w:sz="4" w:space="0"/>
              <w:right w:val="single" w:color="auto" w:sz="4" w:space="0"/>
            </w:tcBorders>
            <w:vAlign w:val="center"/>
          </w:tcPr>
          <w:p w14:paraId="2F64C41F">
            <w:pPr>
              <w:spacing w:line="240" w:lineRule="auto"/>
              <w:jc w:val="center"/>
            </w:pPr>
            <w:r>
              <w:t>189</w:t>
            </w:r>
          </w:p>
        </w:tc>
        <w:tc>
          <w:tcPr>
            <w:tcW w:w="568" w:type="pct"/>
            <w:tcBorders>
              <w:top w:val="single" w:color="auto" w:sz="4" w:space="0"/>
              <w:left w:val="nil"/>
              <w:bottom w:val="single" w:color="auto" w:sz="4" w:space="0"/>
              <w:right w:val="single" w:color="auto" w:sz="4" w:space="0"/>
            </w:tcBorders>
            <w:vAlign w:val="center"/>
          </w:tcPr>
          <w:p w14:paraId="47C4A0F8">
            <w:pPr>
              <w:spacing w:line="240" w:lineRule="auto"/>
              <w:jc w:val="center"/>
            </w:pPr>
            <w:r>
              <w:t>239</w:t>
            </w:r>
          </w:p>
        </w:tc>
        <w:tc>
          <w:tcPr>
            <w:tcW w:w="510" w:type="pct"/>
            <w:tcBorders>
              <w:top w:val="single" w:color="auto" w:sz="4" w:space="0"/>
              <w:left w:val="nil"/>
              <w:bottom w:val="single" w:color="auto" w:sz="4" w:space="0"/>
              <w:right w:val="single" w:color="auto" w:sz="4" w:space="0"/>
            </w:tcBorders>
            <w:vAlign w:val="center"/>
          </w:tcPr>
          <w:p w14:paraId="5D601D6A">
            <w:pPr>
              <w:spacing w:line="240" w:lineRule="auto"/>
              <w:jc w:val="center"/>
            </w:pPr>
            <w:r>
              <w:t>/</w:t>
            </w:r>
          </w:p>
        </w:tc>
      </w:tr>
      <w:tr w14:paraId="45B04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89" w:type="pct"/>
            <w:tcBorders>
              <w:top w:val="single" w:color="auto" w:sz="4" w:space="0"/>
              <w:left w:val="single" w:color="auto" w:sz="4" w:space="0"/>
              <w:bottom w:val="single" w:color="auto" w:sz="4" w:space="0"/>
              <w:right w:val="single" w:color="auto" w:sz="4" w:space="0"/>
            </w:tcBorders>
            <w:vAlign w:val="center"/>
          </w:tcPr>
          <w:p w14:paraId="213B3A0A">
            <w:pPr>
              <w:spacing w:line="240" w:lineRule="auto"/>
              <w:jc w:val="center"/>
            </w:pPr>
            <w:r>
              <w:t>PFW3</w:t>
            </w:r>
          </w:p>
        </w:tc>
        <w:tc>
          <w:tcPr>
            <w:tcW w:w="365" w:type="pct"/>
            <w:tcBorders>
              <w:top w:val="single" w:color="auto" w:sz="4" w:space="0"/>
              <w:left w:val="nil"/>
              <w:bottom w:val="single" w:color="auto" w:sz="4" w:space="0"/>
              <w:right w:val="single" w:color="auto" w:sz="4" w:space="0"/>
            </w:tcBorders>
            <w:vAlign w:val="center"/>
          </w:tcPr>
          <w:p w14:paraId="782E65A0">
            <w:pPr>
              <w:spacing w:line="240" w:lineRule="auto"/>
              <w:jc w:val="center"/>
            </w:pPr>
            <w:r>
              <w:t>75</w:t>
            </w:r>
          </w:p>
        </w:tc>
        <w:tc>
          <w:tcPr>
            <w:tcW w:w="331" w:type="pct"/>
            <w:tcBorders>
              <w:top w:val="single" w:color="auto" w:sz="4" w:space="0"/>
              <w:left w:val="nil"/>
              <w:bottom w:val="single" w:color="auto" w:sz="4" w:space="0"/>
              <w:right w:val="single" w:color="auto" w:sz="4" w:space="0"/>
            </w:tcBorders>
            <w:vAlign w:val="center"/>
          </w:tcPr>
          <w:p w14:paraId="26FD9CB8">
            <w:pPr>
              <w:spacing w:line="240" w:lineRule="auto"/>
              <w:jc w:val="center"/>
            </w:pPr>
            <w:r>
              <w:t>/</w:t>
            </w:r>
          </w:p>
        </w:tc>
        <w:tc>
          <w:tcPr>
            <w:tcW w:w="972" w:type="pct"/>
            <w:tcBorders>
              <w:top w:val="single" w:color="auto" w:sz="4" w:space="0"/>
              <w:left w:val="nil"/>
              <w:bottom w:val="single" w:color="auto" w:sz="4" w:space="0"/>
              <w:right w:val="single" w:color="auto" w:sz="4" w:space="0"/>
            </w:tcBorders>
            <w:vAlign w:val="center"/>
          </w:tcPr>
          <w:p w14:paraId="6A720067">
            <w:pPr>
              <w:spacing w:line="240" w:lineRule="auto"/>
              <w:jc w:val="center"/>
            </w:pPr>
            <w:r>
              <w:t>25</w:t>
            </w:r>
          </w:p>
        </w:tc>
        <w:tc>
          <w:tcPr>
            <w:tcW w:w="486" w:type="pct"/>
            <w:tcBorders>
              <w:top w:val="single" w:color="auto" w:sz="4" w:space="0"/>
              <w:left w:val="nil"/>
              <w:bottom w:val="single" w:color="auto" w:sz="4" w:space="0"/>
              <w:right w:val="single" w:color="auto" w:sz="4" w:space="0"/>
            </w:tcBorders>
            <w:vAlign w:val="center"/>
          </w:tcPr>
          <w:p w14:paraId="32866D26">
            <w:pPr>
              <w:spacing w:line="240" w:lineRule="auto"/>
              <w:jc w:val="center"/>
            </w:pPr>
            <w:r>
              <w:t>/</w:t>
            </w:r>
          </w:p>
        </w:tc>
        <w:tc>
          <w:tcPr>
            <w:tcW w:w="812" w:type="pct"/>
            <w:tcBorders>
              <w:top w:val="single" w:color="auto" w:sz="4" w:space="0"/>
              <w:left w:val="nil"/>
              <w:bottom w:val="single" w:color="auto" w:sz="4" w:space="0"/>
              <w:right w:val="single" w:color="auto" w:sz="4" w:space="0"/>
            </w:tcBorders>
            <w:vAlign w:val="center"/>
          </w:tcPr>
          <w:p w14:paraId="6A161CB3">
            <w:pPr>
              <w:spacing w:line="240" w:lineRule="auto"/>
              <w:jc w:val="center"/>
            </w:pPr>
            <w:r>
              <w:t>27.0</w:t>
            </w:r>
          </w:p>
        </w:tc>
        <w:tc>
          <w:tcPr>
            <w:tcW w:w="567" w:type="pct"/>
            <w:tcBorders>
              <w:top w:val="single" w:color="auto" w:sz="4" w:space="0"/>
              <w:left w:val="nil"/>
              <w:bottom w:val="single" w:color="auto" w:sz="4" w:space="0"/>
              <w:right w:val="single" w:color="auto" w:sz="4" w:space="0"/>
            </w:tcBorders>
            <w:vAlign w:val="center"/>
          </w:tcPr>
          <w:p w14:paraId="6D57ED52">
            <w:pPr>
              <w:spacing w:line="240" w:lineRule="auto"/>
              <w:jc w:val="center"/>
            </w:pPr>
            <w:r>
              <w:t>185</w:t>
            </w:r>
          </w:p>
        </w:tc>
        <w:tc>
          <w:tcPr>
            <w:tcW w:w="568" w:type="pct"/>
            <w:tcBorders>
              <w:top w:val="single" w:color="auto" w:sz="4" w:space="0"/>
              <w:left w:val="nil"/>
              <w:bottom w:val="single" w:color="auto" w:sz="4" w:space="0"/>
              <w:right w:val="single" w:color="auto" w:sz="4" w:space="0"/>
            </w:tcBorders>
            <w:vAlign w:val="center"/>
          </w:tcPr>
          <w:p w14:paraId="61384B03">
            <w:pPr>
              <w:spacing w:line="240" w:lineRule="auto"/>
              <w:jc w:val="center"/>
            </w:pPr>
            <w:r>
              <w:t>235</w:t>
            </w:r>
          </w:p>
        </w:tc>
        <w:tc>
          <w:tcPr>
            <w:tcW w:w="510" w:type="pct"/>
            <w:tcBorders>
              <w:top w:val="single" w:color="auto" w:sz="4" w:space="0"/>
              <w:left w:val="nil"/>
              <w:bottom w:val="single" w:color="auto" w:sz="4" w:space="0"/>
              <w:right w:val="single" w:color="auto" w:sz="4" w:space="0"/>
            </w:tcBorders>
            <w:vAlign w:val="center"/>
          </w:tcPr>
          <w:p w14:paraId="47A2A568">
            <w:pPr>
              <w:spacing w:line="240" w:lineRule="auto"/>
              <w:jc w:val="center"/>
            </w:pPr>
            <w:r>
              <w:t>合格</w:t>
            </w:r>
          </w:p>
        </w:tc>
      </w:tr>
      <w:tr w14:paraId="37639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89" w:type="pct"/>
            <w:tcBorders>
              <w:top w:val="single" w:color="auto" w:sz="4" w:space="0"/>
              <w:left w:val="single" w:color="auto" w:sz="4" w:space="0"/>
              <w:bottom w:val="single" w:color="auto" w:sz="4" w:space="0"/>
              <w:right w:val="single" w:color="auto" w:sz="4" w:space="0"/>
            </w:tcBorders>
            <w:vAlign w:val="center"/>
          </w:tcPr>
          <w:p w14:paraId="17D9C392">
            <w:pPr>
              <w:spacing w:line="240" w:lineRule="auto"/>
              <w:jc w:val="center"/>
            </w:pPr>
            <w:r>
              <w:t>PFW4</w:t>
            </w:r>
          </w:p>
        </w:tc>
        <w:tc>
          <w:tcPr>
            <w:tcW w:w="365" w:type="pct"/>
            <w:tcBorders>
              <w:top w:val="single" w:color="auto" w:sz="4" w:space="0"/>
              <w:left w:val="nil"/>
              <w:bottom w:val="single" w:color="auto" w:sz="4" w:space="0"/>
              <w:right w:val="single" w:color="auto" w:sz="4" w:space="0"/>
            </w:tcBorders>
            <w:vAlign w:val="center"/>
          </w:tcPr>
          <w:p w14:paraId="18306C31">
            <w:pPr>
              <w:spacing w:line="240" w:lineRule="auto"/>
              <w:jc w:val="center"/>
            </w:pPr>
            <w:r>
              <w:t>65</w:t>
            </w:r>
          </w:p>
        </w:tc>
        <w:tc>
          <w:tcPr>
            <w:tcW w:w="331" w:type="pct"/>
            <w:tcBorders>
              <w:top w:val="single" w:color="auto" w:sz="4" w:space="0"/>
              <w:left w:val="nil"/>
              <w:bottom w:val="single" w:color="auto" w:sz="4" w:space="0"/>
              <w:right w:val="single" w:color="auto" w:sz="4" w:space="0"/>
            </w:tcBorders>
            <w:vAlign w:val="center"/>
          </w:tcPr>
          <w:p w14:paraId="14B35777">
            <w:pPr>
              <w:spacing w:line="240" w:lineRule="auto"/>
              <w:jc w:val="center"/>
            </w:pPr>
            <w:r>
              <w:t>/</w:t>
            </w:r>
          </w:p>
        </w:tc>
        <w:tc>
          <w:tcPr>
            <w:tcW w:w="972" w:type="pct"/>
            <w:tcBorders>
              <w:top w:val="single" w:color="auto" w:sz="4" w:space="0"/>
              <w:left w:val="nil"/>
              <w:bottom w:val="single" w:color="auto" w:sz="4" w:space="0"/>
              <w:right w:val="single" w:color="auto" w:sz="4" w:space="0"/>
            </w:tcBorders>
            <w:vAlign w:val="center"/>
          </w:tcPr>
          <w:p w14:paraId="3F2F2488">
            <w:pPr>
              <w:spacing w:line="240" w:lineRule="auto"/>
              <w:jc w:val="center"/>
            </w:pPr>
            <w:r>
              <w:t>35</w:t>
            </w:r>
          </w:p>
        </w:tc>
        <w:tc>
          <w:tcPr>
            <w:tcW w:w="486" w:type="pct"/>
            <w:tcBorders>
              <w:top w:val="single" w:color="auto" w:sz="4" w:space="0"/>
              <w:left w:val="nil"/>
              <w:bottom w:val="single" w:color="auto" w:sz="4" w:space="0"/>
              <w:right w:val="single" w:color="auto" w:sz="4" w:space="0"/>
            </w:tcBorders>
            <w:vAlign w:val="center"/>
          </w:tcPr>
          <w:p w14:paraId="0E994702">
            <w:pPr>
              <w:spacing w:line="240" w:lineRule="auto"/>
              <w:jc w:val="center"/>
            </w:pPr>
            <w:r>
              <w:t>/</w:t>
            </w:r>
          </w:p>
        </w:tc>
        <w:tc>
          <w:tcPr>
            <w:tcW w:w="812" w:type="pct"/>
            <w:tcBorders>
              <w:top w:val="single" w:color="auto" w:sz="4" w:space="0"/>
              <w:left w:val="nil"/>
              <w:bottom w:val="single" w:color="auto" w:sz="4" w:space="0"/>
              <w:right w:val="single" w:color="auto" w:sz="4" w:space="0"/>
            </w:tcBorders>
            <w:vAlign w:val="center"/>
          </w:tcPr>
          <w:p w14:paraId="2945C3C9">
            <w:pPr>
              <w:spacing w:line="240" w:lineRule="auto"/>
              <w:jc w:val="center"/>
            </w:pPr>
            <w:r>
              <w:t>27.8</w:t>
            </w:r>
          </w:p>
        </w:tc>
        <w:tc>
          <w:tcPr>
            <w:tcW w:w="567" w:type="pct"/>
            <w:tcBorders>
              <w:top w:val="single" w:color="auto" w:sz="4" w:space="0"/>
              <w:left w:val="nil"/>
              <w:bottom w:val="single" w:color="auto" w:sz="4" w:space="0"/>
              <w:right w:val="single" w:color="auto" w:sz="4" w:space="0"/>
            </w:tcBorders>
            <w:vAlign w:val="center"/>
          </w:tcPr>
          <w:p w14:paraId="7474C85D">
            <w:pPr>
              <w:spacing w:line="240" w:lineRule="auto"/>
              <w:jc w:val="center"/>
            </w:pPr>
            <w:r>
              <w:t>220</w:t>
            </w:r>
          </w:p>
        </w:tc>
        <w:tc>
          <w:tcPr>
            <w:tcW w:w="568" w:type="pct"/>
            <w:tcBorders>
              <w:top w:val="single" w:color="auto" w:sz="4" w:space="0"/>
              <w:left w:val="nil"/>
              <w:bottom w:val="single" w:color="auto" w:sz="4" w:space="0"/>
              <w:right w:val="single" w:color="auto" w:sz="4" w:space="0"/>
            </w:tcBorders>
            <w:vAlign w:val="center"/>
          </w:tcPr>
          <w:p w14:paraId="3F378987">
            <w:pPr>
              <w:spacing w:line="240" w:lineRule="auto"/>
              <w:jc w:val="center"/>
            </w:pPr>
            <w:r>
              <w:t>27O</w:t>
            </w:r>
          </w:p>
        </w:tc>
        <w:tc>
          <w:tcPr>
            <w:tcW w:w="510" w:type="pct"/>
            <w:tcBorders>
              <w:top w:val="single" w:color="auto" w:sz="4" w:space="0"/>
              <w:left w:val="nil"/>
              <w:bottom w:val="single" w:color="auto" w:sz="4" w:space="0"/>
              <w:right w:val="single" w:color="auto" w:sz="4" w:space="0"/>
            </w:tcBorders>
            <w:vAlign w:val="center"/>
          </w:tcPr>
          <w:p w14:paraId="50A3CFB1">
            <w:pPr>
              <w:spacing w:line="240" w:lineRule="auto"/>
              <w:jc w:val="center"/>
            </w:pPr>
            <w:r>
              <w:t>/</w:t>
            </w:r>
          </w:p>
        </w:tc>
      </w:tr>
      <w:tr w14:paraId="62083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89" w:type="pct"/>
            <w:tcBorders>
              <w:top w:val="single" w:color="auto" w:sz="4" w:space="0"/>
              <w:left w:val="single" w:color="auto" w:sz="4" w:space="0"/>
              <w:bottom w:val="single" w:color="auto" w:sz="4" w:space="0"/>
              <w:right w:val="single" w:color="auto" w:sz="4" w:space="0"/>
            </w:tcBorders>
            <w:vAlign w:val="center"/>
          </w:tcPr>
          <w:p w14:paraId="028C3831">
            <w:pPr>
              <w:spacing w:line="240" w:lineRule="auto"/>
              <w:jc w:val="center"/>
            </w:pPr>
            <w:r>
              <w:t>PFⅠ1</w:t>
            </w:r>
          </w:p>
        </w:tc>
        <w:tc>
          <w:tcPr>
            <w:tcW w:w="365" w:type="pct"/>
            <w:tcBorders>
              <w:top w:val="single" w:color="auto" w:sz="4" w:space="0"/>
              <w:left w:val="nil"/>
              <w:bottom w:val="single" w:color="auto" w:sz="4" w:space="0"/>
              <w:right w:val="single" w:color="auto" w:sz="4" w:space="0"/>
            </w:tcBorders>
            <w:vAlign w:val="center"/>
          </w:tcPr>
          <w:p w14:paraId="58547170">
            <w:pPr>
              <w:spacing w:line="240" w:lineRule="auto"/>
              <w:jc w:val="center"/>
            </w:pPr>
            <w:r>
              <w:t>95</w:t>
            </w:r>
          </w:p>
        </w:tc>
        <w:tc>
          <w:tcPr>
            <w:tcW w:w="331" w:type="pct"/>
            <w:tcBorders>
              <w:top w:val="single" w:color="auto" w:sz="4" w:space="0"/>
              <w:left w:val="nil"/>
              <w:bottom w:val="single" w:color="auto" w:sz="4" w:space="0"/>
              <w:right w:val="single" w:color="auto" w:sz="4" w:space="0"/>
            </w:tcBorders>
            <w:vAlign w:val="center"/>
          </w:tcPr>
          <w:p w14:paraId="3A90B406">
            <w:pPr>
              <w:spacing w:line="240" w:lineRule="auto"/>
              <w:jc w:val="center"/>
            </w:pPr>
            <w:r>
              <w:t>/</w:t>
            </w:r>
          </w:p>
        </w:tc>
        <w:tc>
          <w:tcPr>
            <w:tcW w:w="972" w:type="pct"/>
            <w:tcBorders>
              <w:top w:val="single" w:color="auto" w:sz="4" w:space="0"/>
              <w:left w:val="nil"/>
              <w:bottom w:val="single" w:color="auto" w:sz="4" w:space="0"/>
              <w:right w:val="single" w:color="auto" w:sz="4" w:space="0"/>
            </w:tcBorders>
            <w:vAlign w:val="center"/>
          </w:tcPr>
          <w:p w14:paraId="5C572EF5">
            <w:pPr>
              <w:spacing w:line="240" w:lineRule="auto"/>
              <w:jc w:val="center"/>
            </w:pPr>
            <w:r>
              <w:t>/</w:t>
            </w:r>
          </w:p>
        </w:tc>
        <w:tc>
          <w:tcPr>
            <w:tcW w:w="486" w:type="pct"/>
            <w:tcBorders>
              <w:top w:val="single" w:color="auto" w:sz="4" w:space="0"/>
              <w:left w:val="nil"/>
              <w:bottom w:val="single" w:color="auto" w:sz="4" w:space="0"/>
              <w:right w:val="single" w:color="auto" w:sz="4" w:space="0"/>
            </w:tcBorders>
            <w:vAlign w:val="center"/>
          </w:tcPr>
          <w:p w14:paraId="17B1529C">
            <w:pPr>
              <w:spacing w:line="240" w:lineRule="auto"/>
              <w:jc w:val="center"/>
            </w:pPr>
            <w:r>
              <w:t>5</w:t>
            </w:r>
          </w:p>
        </w:tc>
        <w:tc>
          <w:tcPr>
            <w:tcW w:w="812" w:type="pct"/>
            <w:tcBorders>
              <w:top w:val="single" w:color="auto" w:sz="4" w:space="0"/>
              <w:left w:val="nil"/>
              <w:bottom w:val="single" w:color="auto" w:sz="4" w:space="0"/>
              <w:right w:val="single" w:color="auto" w:sz="4" w:space="0"/>
            </w:tcBorders>
            <w:vAlign w:val="center"/>
          </w:tcPr>
          <w:p w14:paraId="08BAE9D7">
            <w:pPr>
              <w:spacing w:line="240" w:lineRule="auto"/>
              <w:jc w:val="center"/>
            </w:pPr>
            <w:r>
              <w:t>26.4</w:t>
            </w:r>
          </w:p>
        </w:tc>
        <w:tc>
          <w:tcPr>
            <w:tcW w:w="567" w:type="pct"/>
            <w:tcBorders>
              <w:top w:val="single" w:color="auto" w:sz="4" w:space="0"/>
              <w:left w:val="nil"/>
              <w:bottom w:val="single" w:color="auto" w:sz="4" w:space="0"/>
              <w:right w:val="single" w:color="auto" w:sz="4" w:space="0"/>
            </w:tcBorders>
            <w:vAlign w:val="center"/>
          </w:tcPr>
          <w:p w14:paraId="05A9954E">
            <w:pPr>
              <w:spacing w:line="240" w:lineRule="auto"/>
              <w:jc w:val="center"/>
            </w:pPr>
            <w:r>
              <w:t>196</w:t>
            </w:r>
          </w:p>
        </w:tc>
        <w:tc>
          <w:tcPr>
            <w:tcW w:w="568" w:type="pct"/>
            <w:tcBorders>
              <w:top w:val="single" w:color="auto" w:sz="4" w:space="0"/>
              <w:left w:val="nil"/>
              <w:bottom w:val="single" w:color="auto" w:sz="4" w:space="0"/>
              <w:right w:val="single" w:color="auto" w:sz="4" w:space="0"/>
            </w:tcBorders>
            <w:vAlign w:val="center"/>
          </w:tcPr>
          <w:p w14:paraId="55D18DA7">
            <w:pPr>
              <w:spacing w:line="240" w:lineRule="auto"/>
              <w:jc w:val="center"/>
            </w:pPr>
            <w:r>
              <w:t>264</w:t>
            </w:r>
          </w:p>
        </w:tc>
        <w:tc>
          <w:tcPr>
            <w:tcW w:w="510" w:type="pct"/>
            <w:tcBorders>
              <w:top w:val="single" w:color="auto" w:sz="4" w:space="0"/>
              <w:left w:val="nil"/>
              <w:bottom w:val="single" w:color="auto" w:sz="4" w:space="0"/>
              <w:right w:val="single" w:color="auto" w:sz="4" w:space="0"/>
            </w:tcBorders>
            <w:vAlign w:val="center"/>
          </w:tcPr>
          <w:p w14:paraId="633421F9">
            <w:pPr>
              <w:spacing w:line="240" w:lineRule="auto"/>
              <w:jc w:val="center"/>
            </w:pPr>
            <w:r>
              <w:t>/</w:t>
            </w:r>
          </w:p>
        </w:tc>
      </w:tr>
      <w:tr w14:paraId="438FD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89" w:type="pct"/>
            <w:tcBorders>
              <w:top w:val="single" w:color="auto" w:sz="4" w:space="0"/>
              <w:left w:val="single" w:color="auto" w:sz="4" w:space="0"/>
              <w:bottom w:val="single" w:color="auto" w:sz="4" w:space="0"/>
              <w:right w:val="single" w:color="auto" w:sz="4" w:space="0"/>
            </w:tcBorders>
            <w:vAlign w:val="center"/>
          </w:tcPr>
          <w:p w14:paraId="6FA44B96">
            <w:pPr>
              <w:spacing w:line="240" w:lineRule="auto"/>
              <w:jc w:val="center"/>
            </w:pPr>
            <w:r>
              <w:t>PFⅠ2</w:t>
            </w:r>
          </w:p>
        </w:tc>
        <w:tc>
          <w:tcPr>
            <w:tcW w:w="365" w:type="pct"/>
            <w:tcBorders>
              <w:top w:val="single" w:color="auto" w:sz="4" w:space="0"/>
              <w:left w:val="nil"/>
              <w:bottom w:val="single" w:color="auto" w:sz="4" w:space="0"/>
              <w:right w:val="single" w:color="auto" w:sz="4" w:space="0"/>
            </w:tcBorders>
            <w:vAlign w:val="center"/>
          </w:tcPr>
          <w:p w14:paraId="0CF4B20E">
            <w:pPr>
              <w:spacing w:line="240" w:lineRule="auto"/>
              <w:jc w:val="center"/>
            </w:pPr>
            <w:r>
              <w:t>85</w:t>
            </w:r>
          </w:p>
        </w:tc>
        <w:tc>
          <w:tcPr>
            <w:tcW w:w="331" w:type="pct"/>
            <w:tcBorders>
              <w:top w:val="single" w:color="auto" w:sz="4" w:space="0"/>
              <w:left w:val="nil"/>
              <w:bottom w:val="single" w:color="auto" w:sz="4" w:space="0"/>
              <w:right w:val="single" w:color="auto" w:sz="4" w:space="0"/>
            </w:tcBorders>
            <w:vAlign w:val="center"/>
          </w:tcPr>
          <w:p w14:paraId="225F809B">
            <w:pPr>
              <w:spacing w:line="240" w:lineRule="auto"/>
              <w:jc w:val="center"/>
            </w:pPr>
            <w:r>
              <w:t>/</w:t>
            </w:r>
          </w:p>
        </w:tc>
        <w:tc>
          <w:tcPr>
            <w:tcW w:w="972" w:type="pct"/>
            <w:tcBorders>
              <w:top w:val="single" w:color="auto" w:sz="4" w:space="0"/>
              <w:left w:val="nil"/>
              <w:bottom w:val="single" w:color="auto" w:sz="4" w:space="0"/>
              <w:right w:val="single" w:color="auto" w:sz="4" w:space="0"/>
            </w:tcBorders>
            <w:vAlign w:val="center"/>
          </w:tcPr>
          <w:p w14:paraId="44D572A8">
            <w:pPr>
              <w:spacing w:line="240" w:lineRule="auto"/>
              <w:jc w:val="center"/>
            </w:pPr>
            <w:r>
              <w:t>/</w:t>
            </w:r>
          </w:p>
        </w:tc>
        <w:tc>
          <w:tcPr>
            <w:tcW w:w="486" w:type="pct"/>
            <w:tcBorders>
              <w:top w:val="single" w:color="auto" w:sz="4" w:space="0"/>
              <w:left w:val="nil"/>
              <w:bottom w:val="single" w:color="auto" w:sz="4" w:space="0"/>
              <w:right w:val="single" w:color="auto" w:sz="4" w:space="0"/>
            </w:tcBorders>
            <w:vAlign w:val="center"/>
          </w:tcPr>
          <w:p w14:paraId="4B9C6149">
            <w:pPr>
              <w:spacing w:line="240" w:lineRule="auto"/>
              <w:jc w:val="center"/>
            </w:pPr>
            <w:r>
              <w:t>15</w:t>
            </w:r>
          </w:p>
        </w:tc>
        <w:tc>
          <w:tcPr>
            <w:tcW w:w="812" w:type="pct"/>
            <w:tcBorders>
              <w:top w:val="single" w:color="auto" w:sz="4" w:space="0"/>
              <w:left w:val="nil"/>
              <w:bottom w:val="single" w:color="auto" w:sz="4" w:space="0"/>
              <w:right w:val="single" w:color="auto" w:sz="4" w:space="0"/>
            </w:tcBorders>
            <w:vAlign w:val="center"/>
          </w:tcPr>
          <w:p w14:paraId="494D0795">
            <w:pPr>
              <w:spacing w:line="240" w:lineRule="auto"/>
              <w:jc w:val="center"/>
            </w:pPr>
            <w:r>
              <w:t>26.6</w:t>
            </w:r>
          </w:p>
        </w:tc>
        <w:tc>
          <w:tcPr>
            <w:tcW w:w="567" w:type="pct"/>
            <w:tcBorders>
              <w:top w:val="single" w:color="auto" w:sz="4" w:space="0"/>
              <w:left w:val="nil"/>
              <w:bottom w:val="single" w:color="auto" w:sz="4" w:space="0"/>
              <w:right w:val="single" w:color="auto" w:sz="4" w:space="0"/>
            </w:tcBorders>
            <w:vAlign w:val="center"/>
          </w:tcPr>
          <w:p w14:paraId="2B28C5B5">
            <w:pPr>
              <w:spacing w:line="240" w:lineRule="auto"/>
              <w:jc w:val="center"/>
            </w:pPr>
            <w:r>
              <w:t>214</w:t>
            </w:r>
          </w:p>
        </w:tc>
        <w:tc>
          <w:tcPr>
            <w:tcW w:w="568" w:type="pct"/>
            <w:tcBorders>
              <w:top w:val="single" w:color="auto" w:sz="4" w:space="0"/>
              <w:left w:val="nil"/>
              <w:bottom w:val="single" w:color="auto" w:sz="4" w:space="0"/>
              <w:right w:val="single" w:color="auto" w:sz="4" w:space="0"/>
            </w:tcBorders>
            <w:vAlign w:val="center"/>
          </w:tcPr>
          <w:p w14:paraId="56357DC7">
            <w:pPr>
              <w:spacing w:line="240" w:lineRule="auto"/>
              <w:jc w:val="center"/>
            </w:pPr>
            <w:r>
              <w:t>284</w:t>
            </w:r>
          </w:p>
        </w:tc>
        <w:tc>
          <w:tcPr>
            <w:tcW w:w="510" w:type="pct"/>
            <w:tcBorders>
              <w:top w:val="single" w:color="auto" w:sz="4" w:space="0"/>
              <w:left w:val="nil"/>
              <w:bottom w:val="single" w:color="auto" w:sz="4" w:space="0"/>
              <w:right w:val="single" w:color="auto" w:sz="4" w:space="0"/>
            </w:tcBorders>
            <w:vAlign w:val="center"/>
          </w:tcPr>
          <w:p w14:paraId="5D273101">
            <w:pPr>
              <w:spacing w:line="240" w:lineRule="auto"/>
              <w:jc w:val="center"/>
            </w:pPr>
            <w:r>
              <w:t>/</w:t>
            </w:r>
          </w:p>
        </w:tc>
      </w:tr>
      <w:tr w14:paraId="60C28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89" w:type="pct"/>
            <w:tcBorders>
              <w:top w:val="single" w:color="auto" w:sz="4" w:space="0"/>
              <w:left w:val="single" w:color="auto" w:sz="4" w:space="0"/>
              <w:bottom w:val="single" w:color="auto" w:sz="4" w:space="0"/>
              <w:right w:val="single" w:color="auto" w:sz="4" w:space="0"/>
            </w:tcBorders>
            <w:vAlign w:val="center"/>
          </w:tcPr>
          <w:p w14:paraId="00CE1DE6">
            <w:pPr>
              <w:spacing w:line="240" w:lineRule="auto"/>
              <w:jc w:val="center"/>
            </w:pPr>
            <w:r>
              <w:t>PFⅠ3</w:t>
            </w:r>
          </w:p>
        </w:tc>
        <w:tc>
          <w:tcPr>
            <w:tcW w:w="365" w:type="pct"/>
            <w:tcBorders>
              <w:top w:val="single" w:color="auto" w:sz="4" w:space="0"/>
              <w:left w:val="nil"/>
              <w:bottom w:val="single" w:color="auto" w:sz="4" w:space="0"/>
              <w:right w:val="single" w:color="auto" w:sz="4" w:space="0"/>
            </w:tcBorders>
            <w:vAlign w:val="center"/>
          </w:tcPr>
          <w:p w14:paraId="7E5DC0B1">
            <w:pPr>
              <w:spacing w:line="240" w:lineRule="auto"/>
              <w:jc w:val="center"/>
            </w:pPr>
            <w:r>
              <w:t>75</w:t>
            </w:r>
          </w:p>
        </w:tc>
        <w:tc>
          <w:tcPr>
            <w:tcW w:w="331" w:type="pct"/>
            <w:tcBorders>
              <w:top w:val="single" w:color="auto" w:sz="4" w:space="0"/>
              <w:left w:val="nil"/>
              <w:bottom w:val="single" w:color="auto" w:sz="4" w:space="0"/>
              <w:right w:val="single" w:color="auto" w:sz="4" w:space="0"/>
            </w:tcBorders>
            <w:vAlign w:val="center"/>
          </w:tcPr>
          <w:p w14:paraId="6DB632B9">
            <w:pPr>
              <w:spacing w:line="240" w:lineRule="auto"/>
              <w:jc w:val="center"/>
            </w:pPr>
            <w:r>
              <w:t>/</w:t>
            </w:r>
          </w:p>
        </w:tc>
        <w:tc>
          <w:tcPr>
            <w:tcW w:w="972" w:type="pct"/>
            <w:tcBorders>
              <w:top w:val="single" w:color="auto" w:sz="4" w:space="0"/>
              <w:left w:val="nil"/>
              <w:bottom w:val="single" w:color="auto" w:sz="4" w:space="0"/>
              <w:right w:val="single" w:color="auto" w:sz="4" w:space="0"/>
            </w:tcBorders>
            <w:vAlign w:val="center"/>
          </w:tcPr>
          <w:p w14:paraId="01C4C24C">
            <w:pPr>
              <w:spacing w:line="240" w:lineRule="auto"/>
              <w:jc w:val="center"/>
            </w:pPr>
            <w:r>
              <w:t>/</w:t>
            </w:r>
          </w:p>
        </w:tc>
        <w:tc>
          <w:tcPr>
            <w:tcW w:w="486" w:type="pct"/>
            <w:tcBorders>
              <w:top w:val="single" w:color="auto" w:sz="4" w:space="0"/>
              <w:left w:val="nil"/>
              <w:bottom w:val="single" w:color="auto" w:sz="4" w:space="0"/>
              <w:right w:val="single" w:color="auto" w:sz="4" w:space="0"/>
            </w:tcBorders>
            <w:vAlign w:val="center"/>
          </w:tcPr>
          <w:p w14:paraId="745E7E0D">
            <w:pPr>
              <w:spacing w:line="240" w:lineRule="auto"/>
              <w:jc w:val="center"/>
            </w:pPr>
            <w:r>
              <w:t>25</w:t>
            </w:r>
          </w:p>
        </w:tc>
        <w:tc>
          <w:tcPr>
            <w:tcW w:w="812" w:type="pct"/>
            <w:tcBorders>
              <w:top w:val="single" w:color="auto" w:sz="4" w:space="0"/>
              <w:left w:val="nil"/>
              <w:bottom w:val="single" w:color="auto" w:sz="4" w:space="0"/>
              <w:right w:val="single" w:color="auto" w:sz="4" w:space="0"/>
            </w:tcBorders>
            <w:vAlign w:val="center"/>
          </w:tcPr>
          <w:p w14:paraId="6816AB83">
            <w:pPr>
              <w:spacing w:line="240" w:lineRule="auto"/>
              <w:jc w:val="center"/>
            </w:pPr>
            <w:r>
              <w:t>26.8</w:t>
            </w:r>
          </w:p>
        </w:tc>
        <w:tc>
          <w:tcPr>
            <w:tcW w:w="567" w:type="pct"/>
            <w:tcBorders>
              <w:top w:val="single" w:color="auto" w:sz="4" w:space="0"/>
              <w:left w:val="nil"/>
              <w:bottom w:val="single" w:color="auto" w:sz="4" w:space="0"/>
              <w:right w:val="single" w:color="auto" w:sz="4" w:space="0"/>
            </w:tcBorders>
            <w:vAlign w:val="center"/>
          </w:tcPr>
          <w:p w14:paraId="48BEBBFF">
            <w:pPr>
              <w:spacing w:line="240" w:lineRule="auto"/>
              <w:jc w:val="center"/>
            </w:pPr>
            <w:r>
              <w:t>223</w:t>
            </w:r>
          </w:p>
        </w:tc>
        <w:tc>
          <w:tcPr>
            <w:tcW w:w="568" w:type="pct"/>
            <w:tcBorders>
              <w:top w:val="single" w:color="auto" w:sz="4" w:space="0"/>
              <w:left w:val="nil"/>
              <w:bottom w:val="single" w:color="auto" w:sz="4" w:space="0"/>
              <w:right w:val="single" w:color="auto" w:sz="4" w:space="0"/>
            </w:tcBorders>
            <w:vAlign w:val="center"/>
          </w:tcPr>
          <w:p w14:paraId="583F05B2">
            <w:pPr>
              <w:spacing w:line="240" w:lineRule="auto"/>
              <w:jc w:val="center"/>
            </w:pPr>
            <w:r>
              <w:t>289</w:t>
            </w:r>
          </w:p>
        </w:tc>
        <w:tc>
          <w:tcPr>
            <w:tcW w:w="510" w:type="pct"/>
            <w:tcBorders>
              <w:top w:val="single" w:color="auto" w:sz="4" w:space="0"/>
              <w:left w:val="nil"/>
              <w:bottom w:val="single" w:color="auto" w:sz="4" w:space="0"/>
              <w:right w:val="single" w:color="auto" w:sz="4" w:space="0"/>
            </w:tcBorders>
            <w:vAlign w:val="center"/>
          </w:tcPr>
          <w:p w14:paraId="04CA5243">
            <w:pPr>
              <w:spacing w:line="240" w:lineRule="auto"/>
              <w:jc w:val="center"/>
            </w:pPr>
            <w:r>
              <w:t>合格</w:t>
            </w:r>
          </w:p>
        </w:tc>
      </w:tr>
      <w:tr w14:paraId="68DC3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89" w:type="pct"/>
            <w:tcBorders>
              <w:top w:val="single" w:color="auto" w:sz="4" w:space="0"/>
              <w:left w:val="single" w:color="auto" w:sz="4" w:space="0"/>
              <w:bottom w:val="single" w:color="auto" w:sz="4" w:space="0"/>
              <w:right w:val="single" w:color="auto" w:sz="4" w:space="0"/>
            </w:tcBorders>
            <w:vAlign w:val="center"/>
          </w:tcPr>
          <w:p w14:paraId="224B89D1">
            <w:pPr>
              <w:spacing w:line="240" w:lineRule="auto"/>
              <w:jc w:val="center"/>
            </w:pPr>
            <w:r>
              <w:t>PFⅠ4</w:t>
            </w:r>
          </w:p>
        </w:tc>
        <w:tc>
          <w:tcPr>
            <w:tcW w:w="365" w:type="pct"/>
            <w:tcBorders>
              <w:top w:val="single" w:color="auto" w:sz="4" w:space="0"/>
              <w:left w:val="nil"/>
              <w:bottom w:val="single" w:color="auto" w:sz="4" w:space="0"/>
              <w:right w:val="single" w:color="auto" w:sz="4" w:space="0"/>
            </w:tcBorders>
            <w:vAlign w:val="center"/>
          </w:tcPr>
          <w:p w14:paraId="46F2CAED">
            <w:pPr>
              <w:spacing w:line="240" w:lineRule="auto"/>
              <w:jc w:val="center"/>
            </w:pPr>
            <w:r>
              <w:t>65</w:t>
            </w:r>
          </w:p>
        </w:tc>
        <w:tc>
          <w:tcPr>
            <w:tcW w:w="331" w:type="pct"/>
            <w:tcBorders>
              <w:top w:val="single" w:color="auto" w:sz="4" w:space="0"/>
              <w:left w:val="nil"/>
              <w:bottom w:val="single" w:color="auto" w:sz="4" w:space="0"/>
              <w:right w:val="single" w:color="auto" w:sz="4" w:space="0"/>
            </w:tcBorders>
            <w:vAlign w:val="center"/>
          </w:tcPr>
          <w:p w14:paraId="6B5FC22F">
            <w:pPr>
              <w:spacing w:line="240" w:lineRule="auto"/>
              <w:jc w:val="center"/>
            </w:pPr>
            <w:r>
              <w:t>/</w:t>
            </w:r>
          </w:p>
        </w:tc>
        <w:tc>
          <w:tcPr>
            <w:tcW w:w="972" w:type="pct"/>
            <w:tcBorders>
              <w:top w:val="single" w:color="auto" w:sz="4" w:space="0"/>
              <w:left w:val="nil"/>
              <w:bottom w:val="single" w:color="auto" w:sz="4" w:space="0"/>
              <w:right w:val="single" w:color="auto" w:sz="4" w:space="0"/>
            </w:tcBorders>
            <w:vAlign w:val="center"/>
          </w:tcPr>
          <w:p w14:paraId="53A967FB">
            <w:pPr>
              <w:spacing w:line="240" w:lineRule="auto"/>
              <w:jc w:val="center"/>
            </w:pPr>
            <w:r>
              <w:t>/</w:t>
            </w:r>
          </w:p>
        </w:tc>
        <w:tc>
          <w:tcPr>
            <w:tcW w:w="486" w:type="pct"/>
            <w:tcBorders>
              <w:top w:val="single" w:color="auto" w:sz="4" w:space="0"/>
              <w:left w:val="nil"/>
              <w:bottom w:val="single" w:color="auto" w:sz="4" w:space="0"/>
              <w:right w:val="single" w:color="auto" w:sz="4" w:space="0"/>
            </w:tcBorders>
            <w:vAlign w:val="center"/>
          </w:tcPr>
          <w:p w14:paraId="2506D908">
            <w:pPr>
              <w:spacing w:line="240" w:lineRule="auto"/>
              <w:jc w:val="center"/>
            </w:pPr>
            <w:r>
              <w:t>35</w:t>
            </w:r>
          </w:p>
        </w:tc>
        <w:tc>
          <w:tcPr>
            <w:tcW w:w="812" w:type="pct"/>
            <w:tcBorders>
              <w:top w:val="single" w:color="auto" w:sz="4" w:space="0"/>
              <w:left w:val="nil"/>
              <w:bottom w:val="single" w:color="auto" w:sz="4" w:space="0"/>
              <w:right w:val="single" w:color="auto" w:sz="4" w:space="0"/>
            </w:tcBorders>
            <w:vAlign w:val="center"/>
          </w:tcPr>
          <w:p w14:paraId="12C0E160">
            <w:pPr>
              <w:spacing w:line="240" w:lineRule="auto"/>
              <w:jc w:val="center"/>
            </w:pPr>
            <w:r>
              <w:t>27.3</w:t>
            </w:r>
          </w:p>
        </w:tc>
        <w:tc>
          <w:tcPr>
            <w:tcW w:w="567" w:type="pct"/>
            <w:tcBorders>
              <w:top w:val="single" w:color="auto" w:sz="4" w:space="0"/>
              <w:left w:val="nil"/>
              <w:bottom w:val="single" w:color="auto" w:sz="4" w:space="0"/>
              <w:right w:val="single" w:color="auto" w:sz="4" w:space="0"/>
            </w:tcBorders>
            <w:vAlign w:val="center"/>
          </w:tcPr>
          <w:p w14:paraId="0C92CEB5">
            <w:pPr>
              <w:spacing w:line="240" w:lineRule="auto"/>
              <w:jc w:val="center"/>
            </w:pPr>
            <w:r>
              <w:t>332</w:t>
            </w:r>
          </w:p>
        </w:tc>
        <w:tc>
          <w:tcPr>
            <w:tcW w:w="568" w:type="pct"/>
            <w:tcBorders>
              <w:top w:val="single" w:color="auto" w:sz="4" w:space="0"/>
              <w:left w:val="nil"/>
              <w:bottom w:val="single" w:color="auto" w:sz="4" w:space="0"/>
              <w:right w:val="single" w:color="auto" w:sz="4" w:space="0"/>
            </w:tcBorders>
            <w:vAlign w:val="center"/>
          </w:tcPr>
          <w:p w14:paraId="7710BD62">
            <w:pPr>
              <w:spacing w:line="240" w:lineRule="auto"/>
              <w:jc w:val="center"/>
            </w:pPr>
            <w:r>
              <w:t>410</w:t>
            </w:r>
          </w:p>
        </w:tc>
        <w:tc>
          <w:tcPr>
            <w:tcW w:w="510" w:type="pct"/>
            <w:tcBorders>
              <w:top w:val="single" w:color="auto" w:sz="4" w:space="0"/>
              <w:left w:val="nil"/>
              <w:bottom w:val="single" w:color="auto" w:sz="4" w:space="0"/>
              <w:right w:val="single" w:color="auto" w:sz="4" w:space="0"/>
            </w:tcBorders>
            <w:vAlign w:val="center"/>
          </w:tcPr>
          <w:p w14:paraId="583E4B51">
            <w:pPr>
              <w:spacing w:line="240" w:lineRule="auto"/>
              <w:jc w:val="center"/>
            </w:pPr>
            <w:r>
              <w:t>/</w:t>
            </w:r>
          </w:p>
        </w:tc>
      </w:tr>
    </w:tbl>
    <w:p w14:paraId="2FC303CC">
      <w:pPr>
        <w:ind w:firstLine="480" w:firstLineChars="200"/>
      </w:pPr>
      <w:r>
        <w:t>由</w:t>
      </w:r>
      <w:r>
        <w:fldChar w:fldCharType="begin"/>
      </w:r>
      <w:r>
        <w:instrText xml:space="preserve"> REF _Ref230719692 \h  \* MERGEFORMAT </w:instrText>
      </w:r>
      <w:r>
        <w:fldChar w:fldCharType="separate"/>
      </w:r>
      <w:r>
        <w:rPr>
          <w:rFonts w:hint="eastAsia"/>
          <w:color w:val="000000"/>
        </w:rPr>
        <w:t>图</w:t>
      </w:r>
      <w:r>
        <w:rPr>
          <w:color w:val="000000"/>
        </w:rPr>
        <w:t>4</w:t>
      </w:r>
      <w:r>
        <w:fldChar w:fldCharType="end"/>
      </w:r>
      <w:r>
        <w:t>可以看出：不同掺量物理改性粉煤灰和Ⅰ级粉煤灰后，随着掺量的增加，水泥标稠用水量也呈正比上升趋势；而掺原灰后却相反，随着掺量的增加，标稠用水量相应减少。出现以上原因猜测与粉煤灰的比表面积有关系</w:t>
      </w:r>
      <w:r>
        <w:rPr>
          <w:rFonts w:hint="eastAsia"/>
        </w:rPr>
        <w:t>：</w:t>
      </w:r>
      <w:r>
        <w:t>当加入的粉煤灰比表面积大于水泥的比表面积时，标稠用水量会相应增加；反之，其小于水泥的比表面积，标稠用水量减少。</w:t>
      </w:r>
    </w:p>
    <w:p w14:paraId="17C1F7C7">
      <w:pPr>
        <w:ind w:firstLine="480" w:firstLineChars="200"/>
      </w:pPr>
      <w:r>
        <w:t>粉煤灰对凝结时间影响。从</w:t>
      </w:r>
      <w:r>
        <w:fldChar w:fldCharType="begin"/>
      </w:r>
      <w:r>
        <w:instrText xml:space="preserve"> REF _Ref230707297 \h  \* MERGEFORMAT </w:instrText>
      </w:r>
      <w:r>
        <w:fldChar w:fldCharType="separate"/>
      </w:r>
      <w:r>
        <w:rPr>
          <w:rFonts w:hint="eastAsia"/>
        </w:rPr>
        <w:t>表</w:t>
      </w:r>
      <w:r>
        <w:t>9</w:t>
      </w:r>
      <w:r>
        <w:fldChar w:fldCharType="end"/>
      </w:r>
      <w:r>
        <w:t>可以看出，水泥中加入三种不同的粉煤灰后，随着掺量的增加，凝结时间大致也会延长，尤其加入Ⅰ级粉煤灰后最为明显，但仍符合国家标准。</w:t>
      </w:r>
    </w:p>
    <w:p w14:paraId="074B389B">
      <w:pPr>
        <w:pStyle w:val="37"/>
        <w:numPr>
          <w:ilvl w:val="0"/>
          <w:numId w:val="5"/>
        </w:numPr>
      </w:pPr>
      <w:r>
        <w:t>水泥胶砂流动度</w:t>
      </w:r>
    </w:p>
    <w:p w14:paraId="6BC753B3">
      <w:pPr>
        <w:ind w:firstLine="480" w:firstLineChars="200"/>
      </w:pPr>
      <w:r>
        <w:t>不同掺量和不同水灰比的原灰、物理改性粉煤灰、Ⅰ级粉煤灰详细流动度数据见</w:t>
      </w:r>
      <w:r>
        <w:fldChar w:fldCharType="begin"/>
      </w:r>
      <w:r>
        <w:instrText xml:space="preserve"> REF _Ref230719812 \h  \* MERGEFORMAT </w:instrText>
      </w:r>
      <w:r>
        <w:fldChar w:fldCharType="separate"/>
      </w:r>
      <w:r>
        <w:rPr>
          <w:rFonts w:hint="eastAsia"/>
        </w:rPr>
        <w:t>表</w:t>
      </w:r>
      <w:r>
        <w:t>10</w:t>
      </w:r>
      <w:r>
        <w:fldChar w:fldCharType="end"/>
      </w:r>
      <w:r>
        <w:t>。</w:t>
      </w:r>
    </w:p>
    <w:p w14:paraId="2E99ECA9">
      <w:pPr>
        <w:rPr>
          <w:rFonts w:hint="eastAsia"/>
        </w:rPr>
      </w:pPr>
      <w:bookmarkStart w:id="14" w:name="_Ref230719812"/>
      <w:r>
        <w:rPr>
          <w:rFonts w:hint="eastAsia"/>
        </w:rPr>
        <w:br w:type="page"/>
      </w:r>
    </w:p>
    <w:p w14:paraId="58E2F1AB">
      <w:pPr>
        <w:ind w:firstLine="480" w:firstLineChars="200"/>
        <w:jc w:val="center"/>
      </w:pPr>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10</w:t>
      </w:r>
      <w:r>
        <w:fldChar w:fldCharType="end"/>
      </w:r>
      <w:bookmarkEnd w:id="14"/>
      <w:r>
        <w:rPr>
          <w:rFonts w:hint="eastAsia"/>
        </w:rPr>
        <w:t xml:space="preserve"> </w:t>
      </w:r>
      <w:r>
        <w:t>粉煤灰对水泥胶砂流动度影响</w:t>
      </w:r>
    </w:p>
    <w:tbl>
      <w:tblPr>
        <w:tblStyle w:val="19"/>
        <w:tblW w:w="5000" w:type="pct"/>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2"/>
        <w:gridCol w:w="912"/>
        <w:gridCol w:w="874"/>
        <w:gridCol w:w="1311"/>
        <w:gridCol w:w="1021"/>
        <w:gridCol w:w="1602"/>
        <w:gridCol w:w="1820"/>
      </w:tblGrid>
      <w:tr w14:paraId="5CBB4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6" w:type="pct"/>
            <w:vMerge w:val="restart"/>
            <w:tcBorders>
              <w:top w:val="single" w:color="auto" w:sz="4" w:space="0"/>
              <w:left w:val="single" w:color="auto" w:sz="4" w:space="0"/>
              <w:bottom w:val="single" w:color="auto" w:sz="4" w:space="0"/>
              <w:right w:val="single" w:color="auto" w:sz="4" w:space="0"/>
            </w:tcBorders>
            <w:vAlign w:val="center"/>
          </w:tcPr>
          <w:p w14:paraId="155E11E7">
            <w:pPr>
              <w:spacing w:line="240" w:lineRule="auto"/>
              <w:jc w:val="center"/>
            </w:pPr>
            <w:r>
              <w:t>编号</w:t>
            </w:r>
          </w:p>
        </w:tc>
        <w:tc>
          <w:tcPr>
            <w:tcW w:w="2416" w:type="pct"/>
            <w:gridSpan w:val="4"/>
            <w:tcBorders>
              <w:top w:val="single" w:color="auto" w:sz="4" w:space="0"/>
              <w:left w:val="nil"/>
              <w:bottom w:val="single" w:color="auto" w:sz="4" w:space="0"/>
              <w:right w:val="single" w:color="auto" w:sz="4" w:space="0"/>
            </w:tcBorders>
            <w:vAlign w:val="center"/>
          </w:tcPr>
          <w:p w14:paraId="54E18A28">
            <w:pPr>
              <w:spacing w:line="240" w:lineRule="auto"/>
              <w:jc w:val="center"/>
            </w:pPr>
            <w:r>
              <w:t>配比（%）</w:t>
            </w:r>
          </w:p>
        </w:tc>
        <w:tc>
          <w:tcPr>
            <w:tcW w:w="2008" w:type="pct"/>
            <w:gridSpan w:val="2"/>
            <w:tcBorders>
              <w:top w:val="single" w:color="auto" w:sz="4" w:space="0"/>
              <w:left w:val="nil"/>
              <w:bottom w:val="single" w:color="auto" w:sz="4" w:space="0"/>
              <w:right w:val="single" w:color="auto" w:sz="4" w:space="0"/>
            </w:tcBorders>
            <w:vAlign w:val="center"/>
          </w:tcPr>
          <w:p w14:paraId="6B7E060F">
            <w:pPr>
              <w:spacing w:line="240" w:lineRule="auto"/>
              <w:jc w:val="center"/>
            </w:pPr>
            <w:r>
              <w:t>胶砂流动度（mm）</w:t>
            </w:r>
          </w:p>
        </w:tc>
      </w:tr>
      <w:tr w14:paraId="17AEF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185FCB8F">
            <w:pPr>
              <w:spacing w:line="240" w:lineRule="auto"/>
              <w:jc w:val="left"/>
            </w:pPr>
          </w:p>
        </w:tc>
        <w:tc>
          <w:tcPr>
            <w:tcW w:w="535" w:type="pct"/>
            <w:tcBorders>
              <w:top w:val="single" w:color="auto" w:sz="4" w:space="0"/>
              <w:left w:val="nil"/>
              <w:bottom w:val="single" w:color="auto" w:sz="4" w:space="0"/>
              <w:right w:val="single" w:color="auto" w:sz="4" w:space="0"/>
            </w:tcBorders>
            <w:vAlign w:val="center"/>
          </w:tcPr>
          <w:p w14:paraId="2E10F6D4">
            <w:pPr>
              <w:spacing w:line="240" w:lineRule="auto"/>
              <w:jc w:val="center"/>
            </w:pPr>
            <w:r>
              <w:t>水泥</w:t>
            </w:r>
          </w:p>
        </w:tc>
        <w:tc>
          <w:tcPr>
            <w:tcW w:w="513" w:type="pct"/>
            <w:tcBorders>
              <w:top w:val="single" w:color="auto" w:sz="4" w:space="0"/>
              <w:left w:val="nil"/>
              <w:bottom w:val="single" w:color="auto" w:sz="4" w:space="0"/>
              <w:right w:val="single" w:color="auto" w:sz="4" w:space="0"/>
            </w:tcBorders>
            <w:vAlign w:val="center"/>
          </w:tcPr>
          <w:p w14:paraId="5BDA009A">
            <w:pPr>
              <w:spacing w:line="240" w:lineRule="auto"/>
              <w:jc w:val="center"/>
            </w:pPr>
            <w:r>
              <w:t>原灰</w:t>
            </w:r>
          </w:p>
        </w:tc>
        <w:tc>
          <w:tcPr>
            <w:tcW w:w="769" w:type="pct"/>
            <w:tcBorders>
              <w:top w:val="single" w:color="auto" w:sz="4" w:space="0"/>
              <w:left w:val="nil"/>
              <w:bottom w:val="single" w:color="auto" w:sz="4" w:space="0"/>
              <w:right w:val="single" w:color="auto" w:sz="4" w:space="0"/>
            </w:tcBorders>
            <w:vAlign w:val="center"/>
          </w:tcPr>
          <w:p w14:paraId="5555E8C3">
            <w:pPr>
              <w:spacing w:line="240" w:lineRule="auto"/>
              <w:jc w:val="center"/>
            </w:pPr>
            <w:r>
              <w:t>物理改性粉煤灰</w:t>
            </w:r>
          </w:p>
        </w:tc>
        <w:tc>
          <w:tcPr>
            <w:tcW w:w="599" w:type="pct"/>
            <w:tcBorders>
              <w:top w:val="single" w:color="auto" w:sz="4" w:space="0"/>
              <w:left w:val="nil"/>
              <w:bottom w:val="single" w:color="auto" w:sz="4" w:space="0"/>
              <w:right w:val="single" w:color="auto" w:sz="4" w:space="0"/>
            </w:tcBorders>
            <w:vAlign w:val="center"/>
          </w:tcPr>
          <w:p w14:paraId="5BCF725B">
            <w:pPr>
              <w:spacing w:line="240" w:lineRule="auto"/>
              <w:jc w:val="center"/>
            </w:pPr>
            <w:r>
              <w:t>Ⅰ级灰</w:t>
            </w:r>
          </w:p>
        </w:tc>
        <w:tc>
          <w:tcPr>
            <w:tcW w:w="940" w:type="pct"/>
            <w:tcBorders>
              <w:top w:val="single" w:color="auto" w:sz="4" w:space="0"/>
              <w:left w:val="nil"/>
              <w:bottom w:val="single" w:color="auto" w:sz="4" w:space="0"/>
              <w:right w:val="single" w:color="auto" w:sz="4" w:space="0"/>
            </w:tcBorders>
            <w:vAlign w:val="center"/>
          </w:tcPr>
          <w:p w14:paraId="4062EE04">
            <w:pPr>
              <w:spacing w:line="240" w:lineRule="auto"/>
              <w:jc w:val="center"/>
            </w:pPr>
            <w:r>
              <w:t>水灰比0.50</w:t>
            </w:r>
          </w:p>
        </w:tc>
        <w:tc>
          <w:tcPr>
            <w:tcW w:w="1069" w:type="pct"/>
            <w:tcBorders>
              <w:top w:val="single" w:color="auto" w:sz="4" w:space="0"/>
              <w:left w:val="nil"/>
              <w:bottom w:val="single" w:color="auto" w:sz="4" w:space="0"/>
              <w:right w:val="single" w:color="auto" w:sz="4" w:space="0"/>
            </w:tcBorders>
            <w:vAlign w:val="center"/>
          </w:tcPr>
          <w:p w14:paraId="2E51EAF1">
            <w:pPr>
              <w:spacing w:line="240" w:lineRule="auto"/>
              <w:jc w:val="center"/>
            </w:pPr>
            <w:r>
              <w:t>水灰比0.45</w:t>
            </w:r>
          </w:p>
        </w:tc>
      </w:tr>
      <w:tr w14:paraId="34FE5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6" w:type="pct"/>
            <w:tcBorders>
              <w:top w:val="single" w:color="auto" w:sz="4" w:space="0"/>
              <w:left w:val="single" w:color="auto" w:sz="4" w:space="0"/>
              <w:bottom w:val="single" w:color="auto" w:sz="4" w:space="0"/>
              <w:right w:val="single" w:color="auto" w:sz="4" w:space="0"/>
            </w:tcBorders>
            <w:vAlign w:val="center"/>
          </w:tcPr>
          <w:p w14:paraId="2D63315B">
            <w:pPr>
              <w:spacing w:line="240" w:lineRule="auto"/>
              <w:jc w:val="center"/>
            </w:pPr>
            <w:r>
              <w:t>P0</w:t>
            </w:r>
          </w:p>
        </w:tc>
        <w:tc>
          <w:tcPr>
            <w:tcW w:w="535" w:type="pct"/>
            <w:tcBorders>
              <w:top w:val="single" w:color="auto" w:sz="4" w:space="0"/>
              <w:left w:val="nil"/>
              <w:bottom w:val="single" w:color="auto" w:sz="4" w:space="0"/>
              <w:right w:val="single" w:color="auto" w:sz="4" w:space="0"/>
            </w:tcBorders>
            <w:vAlign w:val="center"/>
          </w:tcPr>
          <w:p w14:paraId="51694686">
            <w:pPr>
              <w:spacing w:line="240" w:lineRule="auto"/>
              <w:jc w:val="center"/>
            </w:pPr>
            <w:r>
              <w:t>100</w:t>
            </w:r>
          </w:p>
        </w:tc>
        <w:tc>
          <w:tcPr>
            <w:tcW w:w="513" w:type="pct"/>
            <w:tcBorders>
              <w:top w:val="single" w:color="auto" w:sz="4" w:space="0"/>
              <w:left w:val="nil"/>
              <w:bottom w:val="single" w:color="auto" w:sz="4" w:space="0"/>
              <w:right w:val="single" w:color="auto" w:sz="4" w:space="0"/>
            </w:tcBorders>
            <w:vAlign w:val="center"/>
          </w:tcPr>
          <w:p w14:paraId="4EC3740C">
            <w:pPr>
              <w:spacing w:line="240" w:lineRule="auto"/>
              <w:jc w:val="center"/>
            </w:pPr>
            <w:r>
              <w:t>/</w:t>
            </w:r>
          </w:p>
        </w:tc>
        <w:tc>
          <w:tcPr>
            <w:tcW w:w="769" w:type="pct"/>
            <w:tcBorders>
              <w:top w:val="single" w:color="auto" w:sz="4" w:space="0"/>
              <w:left w:val="nil"/>
              <w:bottom w:val="single" w:color="auto" w:sz="4" w:space="0"/>
              <w:right w:val="single" w:color="auto" w:sz="4" w:space="0"/>
            </w:tcBorders>
            <w:vAlign w:val="center"/>
          </w:tcPr>
          <w:p w14:paraId="3B47C361">
            <w:pPr>
              <w:spacing w:line="240" w:lineRule="auto"/>
              <w:jc w:val="center"/>
            </w:pPr>
            <w:r>
              <w:t>/</w:t>
            </w:r>
          </w:p>
        </w:tc>
        <w:tc>
          <w:tcPr>
            <w:tcW w:w="599" w:type="pct"/>
            <w:tcBorders>
              <w:top w:val="single" w:color="auto" w:sz="4" w:space="0"/>
              <w:left w:val="nil"/>
              <w:bottom w:val="single" w:color="auto" w:sz="4" w:space="0"/>
              <w:right w:val="single" w:color="auto" w:sz="4" w:space="0"/>
            </w:tcBorders>
            <w:vAlign w:val="center"/>
          </w:tcPr>
          <w:p w14:paraId="4B1F43F8">
            <w:pPr>
              <w:spacing w:line="240" w:lineRule="auto"/>
              <w:jc w:val="center"/>
            </w:pPr>
            <w:r>
              <w:t>/</w:t>
            </w:r>
          </w:p>
        </w:tc>
        <w:tc>
          <w:tcPr>
            <w:tcW w:w="940" w:type="pct"/>
            <w:tcBorders>
              <w:top w:val="single" w:color="auto" w:sz="4" w:space="0"/>
              <w:left w:val="nil"/>
              <w:bottom w:val="single" w:color="auto" w:sz="4" w:space="0"/>
              <w:right w:val="single" w:color="auto" w:sz="4" w:space="0"/>
            </w:tcBorders>
            <w:vAlign w:val="center"/>
          </w:tcPr>
          <w:p w14:paraId="097F51DF">
            <w:pPr>
              <w:spacing w:line="240" w:lineRule="auto"/>
              <w:jc w:val="center"/>
            </w:pPr>
            <w:r>
              <w:t>218</w:t>
            </w:r>
          </w:p>
        </w:tc>
        <w:tc>
          <w:tcPr>
            <w:tcW w:w="1069" w:type="pct"/>
            <w:tcBorders>
              <w:top w:val="single" w:color="auto" w:sz="4" w:space="0"/>
              <w:left w:val="nil"/>
              <w:bottom w:val="single" w:color="auto" w:sz="4" w:space="0"/>
              <w:right w:val="single" w:color="auto" w:sz="4" w:space="0"/>
            </w:tcBorders>
            <w:vAlign w:val="center"/>
          </w:tcPr>
          <w:p w14:paraId="74748424">
            <w:pPr>
              <w:spacing w:line="240" w:lineRule="auto"/>
              <w:jc w:val="center"/>
            </w:pPr>
            <w:r>
              <w:t>175</w:t>
            </w:r>
          </w:p>
        </w:tc>
      </w:tr>
      <w:tr w14:paraId="74D36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6" w:type="pct"/>
            <w:tcBorders>
              <w:top w:val="single" w:color="auto" w:sz="4" w:space="0"/>
              <w:left w:val="single" w:color="auto" w:sz="4" w:space="0"/>
              <w:bottom w:val="single" w:color="auto" w:sz="4" w:space="0"/>
              <w:right w:val="single" w:color="auto" w:sz="4" w:space="0"/>
            </w:tcBorders>
            <w:vAlign w:val="center"/>
          </w:tcPr>
          <w:p w14:paraId="1C9FD1BC">
            <w:pPr>
              <w:spacing w:line="240" w:lineRule="auto"/>
              <w:jc w:val="center"/>
            </w:pPr>
            <w:r>
              <w:t>PFY1</w:t>
            </w:r>
          </w:p>
        </w:tc>
        <w:tc>
          <w:tcPr>
            <w:tcW w:w="535" w:type="pct"/>
            <w:tcBorders>
              <w:top w:val="single" w:color="auto" w:sz="4" w:space="0"/>
              <w:left w:val="nil"/>
              <w:bottom w:val="single" w:color="auto" w:sz="4" w:space="0"/>
              <w:right w:val="single" w:color="auto" w:sz="4" w:space="0"/>
            </w:tcBorders>
            <w:vAlign w:val="center"/>
          </w:tcPr>
          <w:p w14:paraId="3A3DE92C">
            <w:pPr>
              <w:spacing w:line="240" w:lineRule="auto"/>
              <w:jc w:val="center"/>
            </w:pPr>
            <w:r>
              <w:t>95</w:t>
            </w:r>
          </w:p>
        </w:tc>
        <w:tc>
          <w:tcPr>
            <w:tcW w:w="513" w:type="pct"/>
            <w:tcBorders>
              <w:top w:val="single" w:color="auto" w:sz="4" w:space="0"/>
              <w:left w:val="nil"/>
              <w:bottom w:val="single" w:color="auto" w:sz="4" w:space="0"/>
              <w:right w:val="single" w:color="auto" w:sz="4" w:space="0"/>
            </w:tcBorders>
            <w:vAlign w:val="center"/>
          </w:tcPr>
          <w:p w14:paraId="74270896">
            <w:pPr>
              <w:spacing w:line="240" w:lineRule="auto"/>
              <w:jc w:val="center"/>
            </w:pPr>
            <w:r>
              <w:t>5</w:t>
            </w:r>
          </w:p>
        </w:tc>
        <w:tc>
          <w:tcPr>
            <w:tcW w:w="769" w:type="pct"/>
            <w:tcBorders>
              <w:top w:val="single" w:color="auto" w:sz="4" w:space="0"/>
              <w:left w:val="nil"/>
              <w:bottom w:val="single" w:color="auto" w:sz="4" w:space="0"/>
              <w:right w:val="single" w:color="auto" w:sz="4" w:space="0"/>
            </w:tcBorders>
            <w:vAlign w:val="center"/>
          </w:tcPr>
          <w:p w14:paraId="188146E6">
            <w:pPr>
              <w:spacing w:line="240" w:lineRule="auto"/>
              <w:jc w:val="center"/>
            </w:pPr>
            <w:r>
              <w:t>/</w:t>
            </w:r>
          </w:p>
        </w:tc>
        <w:tc>
          <w:tcPr>
            <w:tcW w:w="599" w:type="pct"/>
            <w:tcBorders>
              <w:top w:val="single" w:color="auto" w:sz="4" w:space="0"/>
              <w:left w:val="nil"/>
              <w:bottom w:val="single" w:color="auto" w:sz="4" w:space="0"/>
              <w:right w:val="single" w:color="auto" w:sz="4" w:space="0"/>
            </w:tcBorders>
            <w:vAlign w:val="center"/>
          </w:tcPr>
          <w:p w14:paraId="3289A851">
            <w:pPr>
              <w:spacing w:line="240" w:lineRule="auto"/>
              <w:jc w:val="center"/>
            </w:pPr>
            <w:r>
              <w:t>/</w:t>
            </w:r>
          </w:p>
        </w:tc>
        <w:tc>
          <w:tcPr>
            <w:tcW w:w="940" w:type="pct"/>
            <w:tcBorders>
              <w:top w:val="single" w:color="auto" w:sz="4" w:space="0"/>
              <w:left w:val="nil"/>
              <w:bottom w:val="single" w:color="auto" w:sz="4" w:space="0"/>
              <w:right w:val="single" w:color="auto" w:sz="4" w:space="0"/>
            </w:tcBorders>
            <w:vAlign w:val="center"/>
          </w:tcPr>
          <w:p w14:paraId="660AFF32">
            <w:pPr>
              <w:spacing w:line="240" w:lineRule="auto"/>
              <w:jc w:val="center"/>
            </w:pPr>
            <w:r>
              <w:t>218</w:t>
            </w:r>
          </w:p>
        </w:tc>
        <w:tc>
          <w:tcPr>
            <w:tcW w:w="1069" w:type="pct"/>
            <w:tcBorders>
              <w:top w:val="single" w:color="auto" w:sz="4" w:space="0"/>
              <w:left w:val="nil"/>
              <w:bottom w:val="single" w:color="auto" w:sz="4" w:space="0"/>
              <w:right w:val="single" w:color="auto" w:sz="4" w:space="0"/>
            </w:tcBorders>
            <w:vAlign w:val="center"/>
          </w:tcPr>
          <w:p w14:paraId="4EECFDDA">
            <w:pPr>
              <w:spacing w:line="240" w:lineRule="auto"/>
              <w:jc w:val="center"/>
            </w:pPr>
            <w:r>
              <w:t>174</w:t>
            </w:r>
          </w:p>
        </w:tc>
      </w:tr>
      <w:tr w14:paraId="4E8C9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6" w:type="pct"/>
            <w:tcBorders>
              <w:top w:val="single" w:color="auto" w:sz="4" w:space="0"/>
              <w:left w:val="single" w:color="auto" w:sz="4" w:space="0"/>
              <w:bottom w:val="single" w:color="auto" w:sz="4" w:space="0"/>
              <w:right w:val="single" w:color="auto" w:sz="4" w:space="0"/>
            </w:tcBorders>
            <w:vAlign w:val="center"/>
          </w:tcPr>
          <w:p w14:paraId="6C681580">
            <w:pPr>
              <w:spacing w:line="240" w:lineRule="auto"/>
              <w:jc w:val="center"/>
            </w:pPr>
            <w:r>
              <w:t>PFY2</w:t>
            </w:r>
          </w:p>
        </w:tc>
        <w:tc>
          <w:tcPr>
            <w:tcW w:w="535" w:type="pct"/>
            <w:tcBorders>
              <w:top w:val="single" w:color="auto" w:sz="4" w:space="0"/>
              <w:left w:val="nil"/>
              <w:bottom w:val="single" w:color="auto" w:sz="4" w:space="0"/>
              <w:right w:val="single" w:color="auto" w:sz="4" w:space="0"/>
            </w:tcBorders>
            <w:vAlign w:val="center"/>
          </w:tcPr>
          <w:p w14:paraId="700DD266">
            <w:pPr>
              <w:spacing w:line="240" w:lineRule="auto"/>
              <w:jc w:val="center"/>
            </w:pPr>
            <w:r>
              <w:t>85</w:t>
            </w:r>
          </w:p>
        </w:tc>
        <w:tc>
          <w:tcPr>
            <w:tcW w:w="513" w:type="pct"/>
            <w:tcBorders>
              <w:top w:val="single" w:color="auto" w:sz="4" w:space="0"/>
              <w:left w:val="nil"/>
              <w:bottom w:val="single" w:color="auto" w:sz="4" w:space="0"/>
              <w:right w:val="single" w:color="auto" w:sz="4" w:space="0"/>
            </w:tcBorders>
            <w:vAlign w:val="center"/>
          </w:tcPr>
          <w:p w14:paraId="5D4D797B">
            <w:pPr>
              <w:spacing w:line="240" w:lineRule="auto"/>
              <w:jc w:val="center"/>
            </w:pPr>
            <w:r>
              <w:t>15</w:t>
            </w:r>
          </w:p>
        </w:tc>
        <w:tc>
          <w:tcPr>
            <w:tcW w:w="769" w:type="pct"/>
            <w:tcBorders>
              <w:top w:val="single" w:color="auto" w:sz="4" w:space="0"/>
              <w:left w:val="nil"/>
              <w:bottom w:val="single" w:color="auto" w:sz="4" w:space="0"/>
              <w:right w:val="single" w:color="auto" w:sz="4" w:space="0"/>
            </w:tcBorders>
            <w:vAlign w:val="center"/>
          </w:tcPr>
          <w:p w14:paraId="003A4937">
            <w:pPr>
              <w:spacing w:line="240" w:lineRule="auto"/>
              <w:jc w:val="center"/>
            </w:pPr>
            <w:r>
              <w:t>/</w:t>
            </w:r>
          </w:p>
        </w:tc>
        <w:tc>
          <w:tcPr>
            <w:tcW w:w="599" w:type="pct"/>
            <w:tcBorders>
              <w:top w:val="single" w:color="auto" w:sz="4" w:space="0"/>
              <w:left w:val="nil"/>
              <w:bottom w:val="single" w:color="auto" w:sz="4" w:space="0"/>
              <w:right w:val="single" w:color="auto" w:sz="4" w:space="0"/>
            </w:tcBorders>
            <w:vAlign w:val="center"/>
          </w:tcPr>
          <w:p w14:paraId="57177B2D">
            <w:pPr>
              <w:spacing w:line="240" w:lineRule="auto"/>
              <w:jc w:val="center"/>
            </w:pPr>
            <w:r>
              <w:t>/</w:t>
            </w:r>
          </w:p>
        </w:tc>
        <w:tc>
          <w:tcPr>
            <w:tcW w:w="940" w:type="pct"/>
            <w:tcBorders>
              <w:top w:val="single" w:color="auto" w:sz="4" w:space="0"/>
              <w:left w:val="nil"/>
              <w:bottom w:val="single" w:color="auto" w:sz="4" w:space="0"/>
              <w:right w:val="single" w:color="auto" w:sz="4" w:space="0"/>
            </w:tcBorders>
            <w:vAlign w:val="center"/>
          </w:tcPr>
          <w:p w14:paraId="3ADD5008">
            <w:pPr>
              <w:spacing w:line="240" w:lineRule="auto"/>
              <w:jc w:val="center"/>
            </w:pPr>
            <w:r>
              <w:t>219</w:t>
            </w:r>
          </w:p>
        </w:tc>
        <w:tc>
          <w:tcPr>
            <w:tcW w:w="1069" w:type="pct"/>
            <w:tcBorders>
              <w:top w:val="single" w:color="auto" w:sz="4" w:space="0"/>
              <w:left w:val="nil"/>
              <w:bottom w:val="single" w:color="auto" w:sz="4" w:space="0"/>
              <w:right w:val="single" w:color="auto" w:sz="4" w:space="0"/>
            </w:tcBorders>
            <w:vAlign w:val="center"/>
          </w:tcPr>
          <w:p w14:paraId="57540D3C">
            <w:pPr>
              <w:spacing w:line="240" w:lineRule="auto"/>
              <w:jc w:val="center"/>
            </w:pPr>
            <w:r>
              <w:t>183</w:t>
            </w:r>
          </w:p>
        </w:tc>
      </w:tr>
      <w:tr w14:paraId="78251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6" w:type="pct"/>
            <w:tcBorders>
              <w:top w:val="single" w:color="auto" w:sz="4" w:space="0"/>
              <w:left w:val="single" w:color="auto" w:sz="4" w:space="0"/>
              <w:bottom w:val="single" w:color="auto" w:sz="4" w:space="0"/>
              <w:right w:val="single" w:color="auto" w:sz="4" w:space="0"/>
            </w:tcBorders>
            <w:vAlign w:val="center"/>
          </w:tcPr>
          <w:p w14:paraId="02A9827A">
            <w:pPr>
              <w:spacing w:line="240" w:lineRule="auto"/>
              <w:jc w:val="center"/>
            </w:pPr>
            <w:r>
              <w:t>PFY3</w:t>
            </w:r>
          </w:p>
        </w:tc>
        <w:tc>
          <w:tcPr>
            <w:tcW w:w="535" w:type="pct"/>
            <w:tcBorders>
              <w:top w:val="single" w:color="auto" w:sz="4" w:space="0"/>
              <w:left w:val="nil"/>
              <w:bottom w:val="single" w:color="auto" w:sz="4" w:space="0"/>
              <w:right w:val="single" w:color="auto" w:sz="4" w:space="0"/>
            </w:tcBorders>
            <w:vAlign w:val="center"/>
          </w:tcPr>
          <w:p w14:paraId="3BFF295C">
            <w:pPr>
              <w:spacing w:line="240" w:lineRule="auto"/>
              <w:jc w:val="center"/>
            </w:pPr>
            <w:r>
              <w:t>75</w:t>
            </w:r>
          </w:p>
        </w:tc>
        <w:tc>
          <w:tcPr>
            <w:tcW w:w="513" w:type="pct"/>
            <w:tcBorders>
              <w:top w:val="single" w:color="auto" w:sz="4" w:space="0"/>
              <w:left w:val="nil"/>
              <w:bottom w:val="single" w:color="auto" w:sz="4" w:space="0"/>
              <w:right w:val="single" w:color="auto" w:sz="4" w:space="0"/>
            </w:tcBorders>
            <w:vAlign w:val="center"/>
          </w:tcPr>
          <w:p w14:paraId="46E27A40">
            <w:pPr>
              <w:spacing w:line="240" w:lineRule="auto"/>
              <w:jc w:val="center"/>
            </w:pPr>
            <w:r>
              <w:t>25</w:t>
            </w:r>
          </w:p>
        </w:tc>
        <w:tc>
          <w:tcPr>
            <w:tcW w:w="769" w:type="pct"/>
            <w:tcBorders>
              <w:top w:val="single" w:color="auto" w:sz="4" w:space="0"/>
              <w:left w:val="nil"/>
              <w:bottom w:val="single" w:color="auto" w:sz="4" w:space="0"/>
              <w:right w:val="single" w:color="auto" w:sz="4" w:space="0"/>
            </w:tcBorders>
            <w:vAlign w:val="center"/>
          </w:tcPr>
          <w:p w14:paraId="7978D332">
            <w:pPr>
              <w:spacing w:line="240" w:lineRule="auto"/>
              <w:jc w:val="center"/>
            </w:pPr>
            <w:r>
              <w:t>/</w:t>
            </w:r>
          </w:p>
        </w:tc>
        <w:tc>
          <w:tcPr>
            <w:tcW w:w="599" w:type="pct"/>
            <w:tcBorders>
              <w:top w:val="single" w:color="auto" w:sz="4" w:space="0"/>
              <w:left w:val="nil"/>
              <w:bottom w:val="single" w:color="auto" w:sz="4" w:space="0"/>
              <w:right w:val="single" w:color="auto" w:sz="4" w:space="0"/>
            </w:tcBorders>
            <w:vAlign w:val="center"/>
          </w:tcPr>
          <w:p w14:paraId="2B4B1F39">
            <w:pPr>
              <w:spacing w:line="240" w:lineRule="auto"/>
              <w:jc w:val="center"/>
            </w:pPr>
            <w:r>
              <w:t>/</w:t>
            </w:r>
          </w:p>
        </w:tc>
        <w:tc>
          <w:tcPr>
            <w:tcW w:w="940" w:type="pct"/>
            <w:tcBorders>
              <w:top w:val="single" w:color="auto" w:sz="4" w:space="0"/>
              <w:left w:val="nil"/>
              <w:bottom w:val="single" w:color="auto" w:sz="4" w:space="0"/>
              <w:right w:val="single" w:color="auto" w:sz="4" w:space="0"/>
            </w:tcBorders>
            <w:vAlign w:val="center"/>
          </w:tcPr>
          <w:p w14:paraId="7BF9A37F">
            <w:pPr>
              <w:spacing w:line="240" w:lineRule="auto"/>
              <w:jc w:val="center"/>
            </w:pPr>
            <w:r>
              <w:t>221</w:t>
            </w:r>
          </w:p>
        </w:tc>
        <w:tc>
          <w:tcPr>
            <w:tcW w:w="1069" w:type="pct"/>
            <w:tcBorders>
              <w:top w:val="single" w:color="auto" w:sz="4" w:space="0"/>
              <w:left w:val="nil"/>
              <w:bottom w:val="single" w:color="auto" w:sz="4" w:space="0"/>
              <w:right w:val="single" w:color="auto" w:sz="4" w:space="0"/>
            </w:tcBorders>
            <w:vAlign w:val="center"/>
          </w:tcPr>
          <w:p w14:paraId="33023E84">
            <w:pPr>
              <w:spacing w:line="240" w:lineRule="auto"/>
              <w:jc w:val="center"/>
            </w:pPr>
            <w:r>
              <w:t>176</w:t>
            </w:r>
          </w:p>
        </w:tc>
      </w:tr>
      <w:tr w14:paraId="708A8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6" w:type="pct"/>
            <w:tcBorders>
              <w:top w:val="single" w:color="auto" w:sz="4" w:space="0"/>
              <w:left w:val="single" w:color="auto" w:sz="4" w:space="0"/>
              <w:bottom w:val="single" w:color="auto" w:sz="4" w:space="0"/>
              <w:right w:val="single" w:color="auto" w:sz="4" w:space="0"/>
            </w:tcBorders>
            <w:vAlign w:val="center"/>
          </w:tcPr>
          <w:p w14:paraId="433DF663">
            <w:pPr>
              <w:spacing w:line="240" w:lineRule="auto"/>
              <w:jc w:val="center"/>
            </w:pPr>
            <w:r>
              <w:t>PFY4</w:t>
            </w:r>
          </w:p>
        </w:tc>
        <w:tc>
          <w:tcPr>
            <w:tcW w:w="535" w:type="pct"/>
            <w:tcBorders>
              <w:top w:val="single" w:color="auto" w:sz="4" w:space="0"/>
              <w:left w:val="nil"/>
              <w:bottom w:val="single" w:color="auto" w:sz="4" w:space="0"/>
              <w:right w:val="single" w:color="auto" w:sz="4" w:space="0"/>
            </w:tcBorders>
            <w:vAlign w:val="center"/>
          </w:tcPr>
          <w:p w14:paraId="3B21FE38">
            <w:pPr>
              <w:spacing w:line="240" w:lineRule="auto"/>
              <w:jc w:val="center"/>
            </w:pPr>
            <w:r>
              <w:t>65</w:t>
            </w:r>
          </w:p>
        </w:tc>
        <w:tc>
          <w:tcPr>
            <w:tcW w:w="513" w:type="pct"/>
            <w:tcBorders>
              <w:top w:val="single" w:color="auto" w:sz="4" w:space="0"/>
              <w:left w:val="nil"/>
              <w:bottom w:val="single" w:color="auto" w:sz="4" w:space="0"/>
              <w:right w:val="single" w:color="auto" w:sz="4" w:space="0"/>
            </w:tcBorders>
            <w:vAlign w:val="center"/>
          </w:tcPr>
          <w:p w14:paraId="22228469">
            <w:pPr>
              <w:spacing w:line="240" w:lineRule="auto"/>
              <w:jc w:val="center"/>
            </w:pPr>
            <w:r>
              <w:t>35</w:t>
            </w:r>
          </w:p>
        </w:tc>
        <w:tc>
          <w:tcPr>
            <w:tcW w:w="769" w:type="pct"/>
            <w:tcBorders>
              <w:top w:val="single" w:color="auto" w:sz="4" w:space="0"/>
              <w:left w:val="nil"/>
              <w:bottom w:val="single" w:color="auto" w:sz="4" w:space="0"/>
              <w:right w:val="single" w:color="auto" w:sz="4" w:space="0"/>
            </w:tcBorders>
            <w:vAlign w:val="center"/>
          </w:tcPr>
          <w:p w14:paraId="213E705C">
            <w:pPr>
              <w:spacing w:line="240" w:lineRule="auto"/>
              <w:jc w:val="center"/>
            </w:pPr>
            <w:r>
              <w:t>/</w:t>
            </w:r>
          </w:p>
        </w:tc>
        <w:tc>
          <w:tcPr>
            <w:tcW w:w="599" w:type="pct"/>
            <w:tcBorders>
              <w:top w:val="single" w:color="auto" w:sz="4" w:space="0"/>
              <w:left w:val="nil"/>
              <w:bottom w:val="single" w:color="auto" w:sz="4" w:space="0"/>
              <w:right w:val="single" w:color="auto" w:sz="4" w:space="0"/>
            </w:tcBorders>
            <w:vAlign w:val="center"/>
          </w:tcPr>
          <w:p w14:paraId="73694672">
            <w:pPr>
              <w:spacing w:line="240" w:lineRule="auto"/>
              <w:jc w:val="center"/>
            </w:pPr>
            <w:r>
              <w:t>/</w:t>
            </w:r>
          </w:p>
        </w:tc>
        <w:tc>
          <w:tcPr>
            <w:tcW w:w="940" w:type="pct"/>
            <w:tcBorders>
              <w:top w:val="single" w:color="auto" w:sz="4" w:space="0"/>
              <w:left w:val="nil"/>
              <w:bottom w:val="single" w:color="auto" w:sz="4" w:space="0"/>
              <w:right w:val="single" w:color="auto" w:sz="4" w:space="0"/>
            </w:tcBorders>
            <w:vAlign w:val="center"/>
          </w:tcPr>
          <w:p w14:paraId="28C07921">
            <w:pPr>
              <w:spacing w:line="240" w:lineRule="auto"/>
              <w:jc w:val="center"/>
            </w:pPr>
            <w:r>
              <w:t>223</w:t>
            </w:r>
          </w:p>
        </w:tc>
        <w:tc>
          <w:tcPr>
            <w:tcW w:w="1069" w:type="pct"/>
            <w:tcBorders>
              <w:top w:val="single" w:color="auto" w:sz="4" w:space="0"/>
              <w:left w:val="nil"/>
              <w:bottom w:val="single" w:color="auto" w:sz="4" w:space="0"/>
              <w:right w:val="single" w:color="auto" w:sz="4" w:space="0"/>
            </w:tcBorders>
            <w:vAlign w:val="center"/>
          </w:tcPr>
          <w:p w14:paraId="7AF3A83F">
            <w:pPr>
              <w:spacing w:line="240" w:lineRule="auto"/>
              <w:jc w:val="center"/>
            </w:pPr>
            <w:r>
              <w:t>181</w:t>
            </w:r>
          </w:p>
        </w:tc>
      </w:tr>
      <w:tr w14:paraId="2D537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6" w:type="pct"/>
            <w:tcBorders>
              <w:top w:val="single" w:color="auto" w:sz="4" w:space="0"/>
              <w:left w:val="single" w:color="auto" w:sz="4" w:space="0"/>
              <w:bottom w:val="single" w:color="auto" w:sz="4" w:space="0"/>
              <w:right w:val="single" w:color="auto" w:sz="4" w:space="0"/>
            </w:tcBorders>
            <w:vAlign w:val="center"/>
          </w:tcPr>
          <w:p w14:paraId="0C87CB58">
            <w:pPr>
              <w:spacing w:line="240" w:lineRule="auto"/>
              <w:jc w:val="center"/>
            </w:pPr>
            <w:r>
              <w:t>PFW1</w:t>
            </w:r>
          </w:p>
        </w:tc>
        <w:tc>
          <w:tcPr>
            <w:tcW w:w="535" w:type="pct"/>
            <w:tcBorders>
              <w:top w:val="single" w:color="auto" w:sz="4" w:space="0"/>
              <w:left w:val="nil"/>
              <w:bottom w:val="single" w:color="auto" w:sz="4" w:space="0"/>
              <w:right w:val="single" w:color="auto" w:sz="4" w:space="0"/>
            </w:tcBorders>
            <w:vAlign w:val="center"/>
          </w:tcPr>
          <w:p w14:paraId="50909D0D">
            <w:pPr>
              <w:spacing w:line="240" w:lineRule="auto"/>
              <w:jc w:val="center"/>
            </w:pPr>
            <w:r>
              <w:t>95</w:t>
            </w:r>
          </w:p>
        </w:tc>
        <w:tc>
          <w:tcPr>
            <w:tcW w:w="513" w:type="pct"/>
            <w:tcBorders>
              <w:top w:val="single" w:color="auto" w:sz="4" w:space="0"/>
              <w:left w:val="nil"/>
              <w:bottom w:val="single" w:color="auto" w:sz="4" w:space="0"/>
              <w:right w:val="single" w:color="auto" w:sz="4" w:space="0"/>
            </w:tcBorders>
            <w:vAlign w:val="center"/>
          </w:tcPr>
          <w:p w14:paraId="56E5CA65">
            <w:pPr>
              <w:spacing w:line="240" w:lineRule="auto"/>
              <w:jc w:val="center"/>
            </w:pPr>
            <w:r>
              <w:t>/</w:t>
            </w:r>
          </w:p>
        </w:tc>
        <w:tc>
          <w:tcPr>
            <w:tcW w:w="769" w:type="pct"/>
            <w:tcBorders>
              <w:top w:val="single" w:color="auto" w:sz="4" w:space="0"/>
              <w:left w:val="nil"/>
              <w:bottom w:val="single" w:color="auto" w:sz="4" w:space="0"/>
              <w:right w:val="single" w:color="auto" w:sz="4" w:space="0"/>
            </w:tcBorders>
            <w:vAlign w:val="center"/>
          </w:tcPr>
          <w:p w14:paraId="48927A41">
            <w:pPr>
              <w:spacing w:line="240" w:lineRule="auto"/>
              <w:jc w:val="center"/>
            </w:pPr>
            <w:r>
              <w:t>5</w:t>
            </w:r>
          </w:p>
        </w:tc>
        <w:tc>
          <w:tcPr>
            <w:tcW w:w="599" w:type="pct"/>
            <w:tcBorders>
              <w:top w:val="single" w:color="auto" w:sz="4" w:space="0"/>
              <w:left w:val="nil"/>
              <w:bottom w:val="single" w:color="auto" w:sz="4" w:space="0"/>
              <w:right w:val="single" w:color="auto" w:sz="4" w:space="0"/>
            </w:tcBorders>
            <w:vAlign w:val="center"/>
          </w:tcPr>
          <w:p w14:paraId="3668E93A">
            <w:pPr>
              <w:spacing w:line="240" w:lineRule="auto"/>
              <w:jc w:val="center"/>
            </w:pPr>
            <w:r>
              <w:t>/</w:t>
            </w:r>
          </w:p>
        </w:tc>
        <w:tc>
          <w:tcPr>
            <w:tcW w:w="940" w:type="pct"/>
            <w:tcBorders>
              <w:top w:val="single" w:color="auto" w:sz="4" w:space="0"/>
              <w:left w:val="nil"/>
              <w:bottom w:val="single" w:color="auto" w:sz="4" w:space="0"/>
              <w:right w:val="single" w:color="auto" w:sz="4" w:space="0"/>
            </w:tcBorders>
            <w:vAlign w:val="center"/>
          </w:tcPr>
          <w:p w14:paraId="71C83933">
            <w:pPr>
              <w:spacing w:line="240" w:lineRule="auto"/>
              <w:jc w:val="center"/>
            </w:pPr>
            <w:r>
              <w:t>219</w:t>
            </w:r>
          </w:p>
        </w:tc>
        <w:tc>
          <w:tcPr>
            <w:tcW w:w="1069" w:type="pct"/>
            <w:tcBorders>
              <w:top w:val="single" w:color="auto" w:sz="4" w:space="0"/>
              <w:left w:val="nil"/>
              <w:bottom w:val="single" w:color="auto" w:sz="4" w:space="0"/>
              <w:right w:val="single" w:color="auto" w:sz="4" w:space="0"/>
            </w:tcBorders>
            <w:vAlign w:val="center"/>
          </w:tcPr>
          <w:p w14:paraId="29473F48">
            <w:pPr>
              <w:spacing w:line="240" w:lineRule="auto"/>
              <w:jc w:val="center"/>
            </w:pPr>
            <w:r>
              <w:t>180</w:t>
            </w:r>
          </w:p>
        </w:tc>
      </w:tr>
      <w:tr w14:paraId="0B311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6" w:type="pct"/>
            <w:tcBorders>
              <w:top w:val="single" w:color="auto" w:sz="4" w:space="0"/>
              <w:left w:val="single" w:color="auto" w:sz="4" w:space="0"/>
              <w:bottom w:val="single" w:color="auto" w:sz="4" w:space="0"/>
              <w:right w:val="single" w:color="auto" w:sz="4" w:space="0"/>
            </w:tcBorders>
            <w:vAlign w:val="center"/>
          </w:tcPr>
          <w:p w14:paraId="768BCC08">
            <w:pPr>
              <w:spacing w:line="240" w:lineRule="auto"/>
              <w:jc w:val="center"/>
            </w:pPr>
            <w:r>
              <w:t>PFW2</w:t>
            </w:r>
          </w:p>
        </w:tc>
        <w:tc>
          <w:tcPr>
            <w:tcW w:w="535" w:type="pct"/>
            <w:tcBorders>
              <w:top w:val="single" w:color="auto" w:sz="4" w:space="0"/>
              <w:left w:val="nil"/>
              <w:bottom w:val="single" w:color="auto" w:sz="4" w:space="0"/>
              <w:right w:val="single" w:color="auto" w:sz="4" w:space="0"/>
            </w:tcBorders>
            <w:vAlign w:val="center"/>
          </w:tcPr>
          <w:p w14:paraId="6C1F5074">
            <w:pPr>
              <w:spacing w:line="240" w:lineRule="auto"/>
              <w:jc w:val="center"/>
            </w:pPr>
            <w:r>
              <w:t>85</w:t>
            </w:r>
          </w:p>
        </w:tc>
        <w:tc>
          <w:tcPr>
            <w:tcW w:w="513" w:type="pct"/>
            <w:tcBorders>
              <w:top w:val="single" w:color="auto" w:sz="4" w:space="0"/>
              <w:left w:val="nil"/>
              <w:bottom w:val="single" w:color="auto" w:sz="4" w:space="0"/>
              <w:right w:val="single" w:color="auto" w:sz="4" w:space="0"/>
            </w:tcBorders>
            <w:vAlign w:val="center"/>
          </w:tcPr>
          <w:p w14:paraId="085E7498">
            <w:pPr>
              <w:spacing w:line="240" w:lineRule="auto"/>
              <w:jc w:val="center"/>
            </w:pPr>
            <w:r>
              <w:t>/</w:t>
            </w:r>
          </w:p>
        </w:tc>
        <w:tc>
          <w:tcPr>
            <w:tcW w:w="769" w:type="pct"/>
            <w:tcBorders>
              <w:top w:val="single" w:color="auto" w:sz="4" w:space="0"/>
              <w:left w:val="nil"/>
              <w:bottom w:val="single" w:color="auto" w:sz="4" w:space="0"/>
              <w:right w:val="single" w:color="auto" w:sz="4" w:space="0"/>
            </w:tcBorders>
            <w:vAlign w:val="center"/>
          </w:tcPr>
          <w:p w14:paraId="2AABA7D6">
            <w:pPr>
              <w:spacing w:line="240" w:lineRule="auto"/>
              <w:jc w:val="center"/>
            </w:pPr>
            <w:r>
              <w:t>15</w:t>
            </w:r>
          </w:p>
        </w:tc>
        <w:tc>
          <w:tcPr>
            <w:tcW w:w="599" w:type="pct"/>
            <w:tcBorders>
              <w:top w:val="single" w:color="auto" w:sz="4" w:space="0"/>
              <w:left w:val="nil"/>
              <w:bottom w:val="single" w:color="auto" w:sz="4" w:space="0"/>
              <w:right w:val="single" w:color="auto" w:sz="4" w:space="0"/>
            </w:tcBorders>
            <w:vAlign w:val="center"/>
          </w:tcPr>
          <w:p w14:paraId="16529490">
            <w:pPr>
              <w:spacing w:line="240" w:lineRule="auto"/>
              <w:jc w:val="center"/>
            </w:pPr>
            <w:r>
              <w:t>/</w:t>
            </w:r>
          </w:p>
        </w:tc>
        <w:tc>
          <w:tcPr>
            <w:tcW w:w="940" w:type="pct"/>
            <w:tcBorders>
              <w:top w:val="single" w:color="auto" w:sz="4" w:space="0"/>
              <w:left w:val="nil"/>
              <w:bottom w:val="single" w:color="auto" w:sz="4" w:space="0"/>
              <w:right w:val="single" w:color="auto" w:sz="4" w:space="0"/>
            </w:tcBorders>
            <w:vAlign w:val="center"/>
          </w:tcPr>
          <w:p w14:paraId="791A074A">
            <w:pPr>
              <w:spacing w:line="240" w:lineRule="auto"/>
              <w:jc w:val="center"/>
            </w:pPr>
            <w:r>
              <w:t>222</w:t>
            </w:r>
          </w:p>
        </w:tc>
        <w:tc>
          <w:tcPr>
            <w:tcW w:w="1069" w:type="pct"/>
            <w:tcBorders>
              <w:top w:val="single" w:color="auto" w:sz="4" w:space="0"/>
              <w:left w:val="nil"/>
              <w:bottom w:val="single" w:color="auto" w:sz="4" w:space="0"/>
              <w:right w:val="single" w:color="auto" w:sz="4" w:space="0"/>
            </w:tcBorders>
            <w:vAlign w:val="center"/>
          </w:tcPr>
          <w:p w14:paraId="76969DD0">
            <w:pPr>
              <w:spacing w:line="240" w:lineRule="auto"/>
              <w:jc w:val="center"/>
            </w:pPr>
            <w:r>
              <w:t>182</w:t>
            </w:r>
          </w:p>
        </w:tc>
      </w:tr>
      <w:tr w14:paraId="72494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6" w:type="pct"/>
            <w:tcBorders>
              <w:top w:val="single" w:color="auto" w:sz="4" w:space="0"/>
              <w:left w:val="single" w:color="auto" w:sz="4" w:space="0"/>
              <w:bottom w:val="single" w:color="auto" w:sz="4" w:space="0"/>
              <w:right w:val="single" w:color="auto" w:sz="4" w:space="0"/>
            </w:tcBorders>
            <w:vAlign w:val="center"/>
          </w:tcPr>
          <w:p w14:paraId="76863A31">
            <w:pPr>
              <w:spacing w:line="240" w:lineRule="auto"/>
              <w:jc w:val="center"/>
            </w:pPr>
            <w:r>
              <w:t>PFW3</w:t>
            </w:r>
          </w:p>
        </w:tc>
        <w:tc>
          <w:tcPr>
            <w:tcW w:w="535" w:type="pct"/>
            <w:tcBorders>
              <w:top w:val="single" w:color="auto" w:sz="4" w:space="0"/>
              <w:left w:val="nil"/>
              <w:bottom w:val="single" w:color="auto" w:sz="4" w:space="0"/>
              <w:right w:val="single" w:color="auto" w:sz="4" w:space="0"/>
            </w:tcBorders>
            <w:vAlign w:val="center"/>
          </w:tcPr>
          <w:p w14:paraId="16736E21">
            <w:pPr>
              <w:spacing w:line="240" w:lineRule="auto"/>
              <w:jc w:val="center"/>
            </w:pPr>
            <w:r>
              <w:t>75</w:t>
            </w:r>
          </w:p>
        </w:tc>
        <w:tc>
          <w:tcPr>
            <w:tcW w:w="513" w:type="pct"/>
            <w:tcBorders>
              <w:top w:val="single" w:color="auto" w:sz="4" w:space="0"/>
              <w:left w:val="nil"/>
              <w:bottom w:val="single" w:color="auto" w:sz="4" w:space="0"/>
              <w:right w:val="single" w:color="auto" w:sz="4" w:space="0"/>
            </w:tcBorders>
            <w:vAlign w:val="center"/>
          </w:tcPr>
          <w:p w14:paraId="65549312">
            <w:pPr>
              <w:spacing w:line="240" w:lineRule="auto"/>
              <w:jc w:val="center"/>
            </w:pPr>
            <w:r>
              <w:t>/</w:t>
            </w:r>
          </w:p>
        </w:tc>
        <w:tc>
          <w:tcPr>
            <w:tcW w:w="769" w:type="pct"/>
            <w:tcBorders>
              <w:top w:val="single" w:color="auto" w:sz="4" w:space="0"/>
              <w:left w:val="nil"/>
              <w:bottom w:val="single" w:color="auto" w:sz="4" w:space="0"/>
              <w:right w:val="single" w:color="auto" w:sz="4" w:space="0"/>
            </w:tcBorders>
            <w:vAlign w:val="center"/>
          </w:tcPr>
          <w:p w14:paraId="789B0462">
            <w:pPr>
              <w:spacing w:line="240" w:lineRule="auto"/>
              <w:jc w:val="center"/>
            </w:pPr>
            <w:r>
              <w:t>25</w:t>
            </w:r>
          </w:p>
        </w:tc>
        <w:tc>
          <w:tcPr>
            <w:tcW w:w="599" w:type="pct"/>
            <w:tcBorders>
              <w:top w:val="single" w:color="auto" w:sz="4" w:space="0"/>
              <w:left w:val="nil"/>
              <w:bottom w:val="single" w:color="auto" w:sz="4" w:space="0"/>
              <w:right w:val="single" w:color="auto" w:sz="4" w:space="0"/>
            </w:tcBorders>
            <w:vAlign w:val="center"/>
          </w:tcPr>
          <w:p w14:paraId="6E04248D">
            <w:pPr>
              <w:spacing w:line="240" w:lineRule="auto"/>
              <w:jc w:val="center"/>
            </w:pPr>
            <w:r>
              <w:t>/</w:t>
            </w:r>
          </w:p>
        </w:tc>
        <w:tc>
          <w:tcPr>
            <w:tcW w:w="940" w:type="pct"/>
            <w:tcBorders>
              <w:top w:val="single" w:color="auto" w:sz="4" w:space="0"/>
              <w:left w:val="nil"/>
              <w:bottom w:val="single" w:color="auto" w:sz="4" w:space="0"/>
              <w:right w:val="single" w:color="auto" w:sz="4" w:space="0"/>
            </w:tcBorders>
            <w:vAlign w:val="center"/>
          </w:tcPr>
          <w:p w14:paraId="2FFB264A">
            <w:pPr>
              <w:spacing w:line="240" w:lineRule="auto"/>
              <w:jc w:val="center"/>
            </w:pPr>
            <w:r>
              <w:t>227</w:t>
            </w:r>
          </w:p>
        </w:tc>
        <w:tc>
          <w:tcPr>
            <w:tcW w:w="1069" w:type="pct"/>
            <w:tcBorders>
              <w:top w:val="single" w:color="auto" w:sz="4" w:space="0"/>
              <w:left w:val="nil"/>
              <w:bottom w:val="single" w:color="auto" w:sz="4" w:space="0"/>
              <w:right w:val="single" w:color="auto" w:sz="4" w:space="0"/>
            </w:tcBorders>
            <w:vAlign w:val="center"/>
          </w:tcPr>
          <w:p w14:paraId="50F8C278">
            <w:pPr>
              <w:spacing w:line="240" w:lineRule="auto"/>
              <w:jc w:val="center"/>
            </w:pPr>
            <w:r>
              <w:t>188</w:t>
            </w:r>
          </w:p>
        </w:tc>
      </w:tr>
      <w:tr w14:paraId="48A7B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6" w:type="pct"/>
            <w:tcBorders>
              <w:top w:val="single" w:color="auto" w:sz="4" w:space="0"/>
              <w:left w:val="single" w:color="auto" w:sz="4" w:space="0"/>
              <w:bottom w:val="single" w:color="auto" w:sz="4" w:space="0"/>
              <w:right w:val="single" w:color="auto" w:sz="4" w:space="0"/>
            </w:tcBorders>
            <w:vAlign w:val="center"/>
          </w:tcPr>
          <w:p w14:paraId="00B88FAA">
            <w:pPr>
              <w:spacing w:line="240" w:lineRule="auto"/>
              <w:jc w:val="center"/>
            </w:pPr>
            <w:r>
              <w:t>PFW4</w:t>
            </w:r>
          </w:p>
        </w:tc>
        <w:tc>
          <w:tcPr>
            <w:tcW w:w="535" w:type="pct"/>
            <w:tcBorders>
              <w:top w:val="single" w:color="auto" w:sz="4" w:space="0"/>
              <w:left w:val="nil"/>
              <w:bottom w:val="single" w:color="auto" w:sz="4" w:space="0"/>
              <w:right w:val="single" w:color="auto" w:sz="4" w:space="0"/>
            </w:tcBorders>
            <w:vAlign w:val="center"/>
          </w:tcPr>
          <w:p w14:paraId="436C276D">
            <w:pPr>
              <w:spacing w:line="240" w:lineRule="auto"/>
              <w:jc w:val="center"/>
            </w:pPr>
            <w:r>
              <w:t>65</w:t>
            </w:r>
          </w:p>
        </w:tc>
        <w:tc>
          <w:tcPr>
            <w:tcW w:w="513" w:type="pct"/>
            <w:tcBorders>
              <w:top w:val="single" w:color="auto" w:sz="4" w:space="0"/>
              <w:left w:val="nil"/>
              <w:bottom w:val="single" w:color="auto" w:sz="4" w:space="0"/>
              <w:right w:val="single" w:color="auto" w:sz="4" w:space="0"/>
            </w:tcBorders>
            <w:vAlign w:val="center"/>
          </w:tcPr>
          <w:p w14:paraId="2731630E">
            <w:pPr>
              <w:spacing w:line="240" w:lineRule="auto"/>
              <w:jc w:val="center"/>
            </w:pPr>
            <w:r>
              <w:t>/</w:t>
            </w:r>
          </w:p>
        </w:tc>
        <w:tc>
          <w:tcPr>
            <w:tcW w:w="769" w:type="pct"/>
            <w:tcBorders>
              <w:top w:val="single" w:color="auto" w:sz="4" w:space="0"/>
              <w:left w:val="nil"/>
              <w:bottom w:val="single" w:color="auto" w:sz="4" w:space="0"/>
              <w:right w:val="single" w:color="auto" w:sz="4" w:space="0"/>
            </w:tcBorders>
            <w:vAlign w:val="center"/>
          </w:tcPr>
          <w:p w14:paraId="2CB1E8F4">
            <w:pPr>
              <w:spacing w:line="240" w:lineRule="auto"/>
              <w:jc w:val="center"/>
            </w:pPr>
            <w:r>
              <w:t>35</w:t>
            </w:r>
          </w:p>
        </w:tc>
        <w:tc>
          <w:tcPr>
            <w:tcW w:w="599" w:type="pct"/>
            <w:tcBorders>
              <w:top w:val="single" w:color="auto" w:sz="4" w:space="0"/>
              <w:left w:val="nil"/>
              <w:bottom w:val="single" w:color="auto" w:sz="4" w:space="0"/>
              <w:right w:val="single" w:color="auto" w:sz="4" w:space="0"/>
            </w:tcBorders>
            <w:vAlign w:val="center"/>
          </w:tcPr>
          <w:p w14:paraId="40429C73">
            <w:pPr>
              <w:spacing w:line="240" w:lineRule="auto"/>
              <w:jc w:val="center"/>
            </w:pPr>
            <w:r>
              <w:t>/</w:t>
            </w:r>
          </w:p>
        </w:tc>
        <w:tc>
          <w:tcPr>
            <w:tcW w:w="940" w:type="pct"/>
            <w:tcBorders>
              <w:top w:val="single" w:color="auto" w:sz="4" w:space="0"/>
              <w:left w:val="nil"/>
              <w:bottom w:val="single" w:color="auto" w:sz="4" w:space="0"/>
              <w:right w:val="single" w:color="auto" w:sz="4" w:space="0"/>
            </w:tcBorders>
            <w:vAlign w:val="center"/>
          </w:tcPr>
          <w:p w14:paraId="5678D060">
            <w:pPr>
              <w:spacing w:line="240" w:lineRule="auto"/>
              <w:jc w:val="center"/>
            </w:pPr>
            <w:r>
              <w:t>228</w:t>
            </w:r>
          </w:p>
        </w:tc>
        <w:tc>
          <w:tcPr>
            <w:tcW w:w="1069" w:type="pct"/>
            <w:tcBorders>
              <w:top w:val="single" w:color="auto" w:sz="4" w:space="0"/>
              <w:left w:val="nil"/>
              <w:bottom w:val="single" w:color="auto" w:sz="4" w:space="0"/>
              <w:right w:val="single" w:color="auto" w:sz="4" w:space="0"/>
            </w:tcBorders>
            <w:vAlign w:val="center"/>
          </w:tcPr>
          <w:p w14:paraId="73DEE297">
            <w:pPr>
              <w:spacing w:line="240" w:lineRule="auto"/>
              <w:jc w:val="center"/>
            </w:pPr>
            <w:r>
              <w:t>194</w:t>
            </w:r>
          </w:p>
        </w:tc>
      </w:tr>
      <w:tr w14:paraId="0AACF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6" w:type="pct"/>
            <w:tcBorders>
              <w:top w:val="single" w:color="auto" w:sz="4" w:space="0"/>
              <w:left w:val="single" w:color="auto" w:sz="4" w:space="0"/>
              <w:bottom w:val="single" w:color="auto" w:sz="4" w:space="0"/>
              <w:right w:val="single" w:color="auto" w:sz="4" w:space="0"/>
            </w:tcBorders>
            <w:vAlign w:val="center"/>
          </w:tcPr>
          <w:p w14:paraId="64C02BC7">
            <w:pPr>
              <w:spacing w:line="240" w:lineRule="auto"/>
              <w:jc w:val="center"/>
            </w:pPr>
            <w:r>
              <w:t>PFⅠ1</w:t>
            </w:r>
          </w:p>
        </w:tc>
        <w:tc>
          <w:tcPr>
            <w:tcW w:w="535" w:type="pct"/>
            <w:tcBorders>
              <w:top w:val="single" w:color="auto" w:sz="4" w:space="0"/>
              <w:left w:val="nil"/>
              <w:bottom w:val="single" w:color="auto" w:sz="4" w:space="0"/>
              <w:right w:val="single" w:color="auto" w:sz="4" w:space="0"/>
            </w:tcBorders>
            <w:vAlign w:val="center"/>
          </w:tcPr>
          <w:p w14:paraId="3B5C6E20">
            <w:pPr>
              <w:spacing w:line="240" w:lineRule="auto"/>
              <w:jc w:val="center"/>
            </w:pPr>
            <w:r>
              <w:t>95</w:t>
            </w:r>
          </w:p>
        </w:tc>
        <w:tc>
          <w:tcPr>
            <w:tcW w:w="513" w:type="pct"/>
            <w:tcBorders>
              <w:top w:val="single" w:color="auto" w:sz="4" w:space="0"/>
              <w:left w:val="nil"/>
              <w:bottom w:val="single" w:color="auto" w:sz="4" w:space="0"/>
              <w:right w:val="single" w:color="auto" w:sz="4" w:space="0"/>
            </w:tcBorders>
            <w:vAlign w:val="center"/>
          </w:tcPr>
          <w:p w14:paraId="63F98CA0">
            <w:pPr>
              <w:spacing w:line="240" w:lineRule="auto"/>
              <w:jc w:val="center"/>
            </w:pPr>
            <w:r>
              <w:t>/</w:t>
            </w:r>
          </w:p>
        </w:tc>
        <w:tc>
          <w:tcPr>
            <w:tcW w:w="769" w:type="pct"/>
            <w:tcBorders>
              <w:top w:val="single" w:color="auto" w:sz="4" w:space="0"/>
              <w:left w:val="nil"/>
              <w:bottom w:val="single" w:color="auto" w:sz="4" w:space="0"/>
              <w:right w:val="single" w:color="auto" w:sz="4" w:space="0"/>
            </w:tcBorders>
            <w:vAlign w:val="center"/>
          </w:tcPr>
          <w:p w14:paraId="7794CF81">
            <w:pPr>
              <w:spacing w:line="240" w:lineRule="auto"/>
              <w:jc w:val="center"/>
            </w:pPr>
            <w:r>
              <w:t>/</w:t>
            </w:r>
          </w:p>
        </w:tc>
        <w:tc>
          <w:tcPr>
            <w:tcW w:w="599" w:type="pct"/>
            <w:tcBorders>
              <w:top w:val="single" w:color="auto" w:sz="4" w:space="0"/>
              <w:left w:val="nil"/>
              <w:bottom w:val="single" w:color="auto" w:sz="4" w:space="0"/>
              <w:right w:val="single" w:color="auto" w:sz="4" w:space="0"/>
            </w:tcBorders>
            <w:vAlign w:val="center"/>
          </w:tcPr>
          <w:p w14:paraId="22E991F5">
            <w:pPr>
              <w:spacing w:line="240" w:lineRule="auto"/>
              <w:jc w:val="center"/>
            </w:pPr>
            <w:r>
              <w:t>5</w:t>
            </w:r>
          </w:p>
        </w:tc>
        <w:tc>
          <w:tcPr>
            <w:tcW w:w="940" w:type="pct"/>
            <w:tcBorders>
              <w:top w:val="single" w:color="auto" w:sz="4" w:space="0"/>
              <w:left w:val="nil"/>
              <w:bottom w:val="single" w:color="auto" w:sz="4" w:space="0"/>
              <w:right w:val="single" w:color="auto" w:sz="4" w:space="0"/>
            </w:tcBorders>
            <w:vAlign w:val="center"/>
          </w:tcPr>
          <w:p w14:paraId="759134D9">
            <w:pPr>
              <w:spacing w:line="240" w:lineRule="auto"/>
              <w:jc w:val="center"/>
            </w:pPr>
            <w:r>
              <w:t>222</w:t>
            </w:r>
          </w:p>
        </w:tc>
        <w:tc>
          <w:tcPr>
            <w:tcW w:w="1069" w:type="pct"/>
            <w:tcBorders>
              <w:top w:val="single" w:color="auto" w:sz="4" w:space="0"/>
              <w:left w:val="nil"/>
              <w:bottom w:val="single" w:color="auto" w:sz="4" w:space="0"/>
              <w:right w:val="single" w:color="auto" w:sz="4" w:space="0"/>
            </w:tcBorders>
            <w:vAlign w:val="center"/>
          </w:tcPr>
          <w:p w14:paraId="5EA568A8">
            <w:pPr>
              <w:spacing w:line="240" w:lineRule="auto"/>
              <w:jc w:val="center"/>
            </w:pPr>
            <w:r>
              <w:t>184</w:t>
            </w:r>
          </w:p>
        </w:tc>
      </w:tr>
      <w:tr w14:paraId="63D1C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6" w:type="pct"/>
            <w:tcBorders>
              <w:top w:val="single" w:color="auto" w:sz="4" w:space="0"/>
              <w:left w:val="single" w:color="auto" w:sz="4" w:space="0"/>
              <w:bottom w:val="single" w:color="auto" w:sz="4" w:space="0"/>
              <w:right w:val="single" w:color="auto" w:sz="4" w:space="0"/>
            </w:tcBorders>
            <w:vAlign w:val="center"/>
          </w:tcPr>
          <w:p w14:paraId="279C583B">
            <w:pPr>
              <w:spacing w:line="240" w:lineRule="auto"/>
              <w:jc w:val="center"/>
            </w:pPr>
            <w:r>
              <w:t>PFⅠ2</w:t>
            </w:r>
          </w:p>
        </w:tc>
        <w:tc>
          <w:tcPr>
            <w:tcW w:w="535" w:type="pct"/>
            <w:tcBorders>
              <w:top w:val="single" w:color="auto" w:sz="4" w:space="0"/>
              <w:left w:val="nil"/>
              <w:bottom w:val="single" w:color="auto" w:sz="4" w:space="0"/>
              <w:right w:val="single" w:color="auto" w:sz="4" w:space="0"/>
            </w:tcBorders>
            <w:vAlign w:val="center"/>
          </w:tcPr>
          <w:p w14:paraId="33F1938B">
            <w:pPr>
              <w:spacing w:line="240" w:lineRule="auto"/>
              <w:jc w:val="center"/>
            </w:pPr>
            <w:r>
              <w:t>85</w:t>
            </w:r>
          </w:p>
        </w:tc>
        <w:tc>
          <w:tcPr>
            <w:tcW w:w="513" w:type="pct"/>
            <w:tcBorders>
              <w:top w:val="single" w:color="auto" w:sz="4" w:space="0"/>
              <w:left w:val="nil"/>
              <w:bottom w:val="single" w:color="auto" w:sz="4" w:space="0"/>
              <w:right w:val="single" w:color="auto" w:sz="4" w:space="0"/>
            </w:tcBorders>
            <w:vAlign w:val="center"/>
          </w:tcPr>
          <w:p w14:paraId="55B6199B">
            <w:pPr>
              <w:spacing w:line="240" w:lineRule="auto"/>
              <w:jc w:val="center"/>
            </w:pPr>
            <w:r>
              <w:t>/</w:t>
            </w:r>
          </w:p>
        </w:tc>
        <w:tc>
          <w:tcPr>
            <w:tcW w:w="769" w:type="pct"/>
            <w:tcBorders>
              <w:top w:val="single" w:color="auto" w:sz="4" w:space="0"/>
              <w:left w:val="nil"/>
              <w:bottom w:val="single" w:color="auto" w:sz="4" w:space="0"/>
              <w:right w:val="single" w:color="auto" w:sz="4" w:space="0"/>
            </w:tcBorders>
            <w:vAlign w:val="center"/>
          </w:tcPr>
          <w:p w14:paraId="46012E8B">
            <w:pPr>
              <w:spacing w:line="240" w:lineRule="auto"/>
              <w:jc w:val="center"/>
            </w:pPr>
            <w:r>
              <w:t>/</w:t>
            </w:r>
          </w:p>
        </w:tc>
        <w:tc>
          <w:tcPr>
            <w:tcW w:w="599" w:type="pct"/>
            <w:tcBorders>
              <w:top w:val="single" w:color="auto" w:sz="4" w:space="0"/>
              <w:left w:val="nil"/>
              <w:bottom w:val="single" w:color="auto" w:sz="4" w:space="0"/>
              <w:right w:val="single" w:color="auto" w:sz="4" w:space="0"/>
            </w:tcBorders>
            <w:vAlign w:val="center"/>
          </w:tcPr>
          <w:p w14:paraId="36635F2A">
            <w:pPr>
              <w:spacing w:line="240" w:lineRule="auto"/>
              <w:jc w:val="center"/>
            </w:pPr>
            <w:r>
              <w:t>15</w:t>
            </w:r>
          </w:p>
        </w:tc>
        <w:tc>
          <w:tcPr>
            <w:tcW w:w="940" w:type="pct"/>
            <w:tcBorders>
              <w:top w:val="single" w:color="auto" w:sz="4" w:space="0"/>
              <w:left w:val="nil"/>
              <w:bottom w:val="single" w:color="auto" w:sz="4" w:space="0"/>
              <w:right w:val="single" w:color="auto" w:sz="4" w:space="0"/>
            </w:tcBorders>
            <w:vAlign w:val="center"/>
          </w:tcPr>
          <w:p w14:paraId="1D46B1D7">
            <w:pPr>
              <w:spacing w:line="240" w:lineRule="auto"/>
              <w:jc w:val="center"/>
            </w:pPr>
            <w:r>
              <w:t>230</w:t>
            </w:r>
          </w:p>
        </w:tc>
        <w:tc>
          <w:tcPr>
            <w:tcW w:w="1069" w:type="pct"/>
            <w:tcBorders>
              <w:top w:val="single" w:color="auto" w:sz="4" w:space="0"/>
              <w:left w:val="nil"/>
              <w:bottom w:val="single" w:color="auto" w:sz="4" w:space="0"/>
              <w:right w:val="single" w:color="auto" w:sz="4" w:space="0"/>
            </w:tcBorders>
            <w:vAlign w:val="center"/>
          </w:tcPr>
          <w:p w14:paraId="3C2147F1">
            <w:pPr>
              <w:spacing w:line="240" w:lineRule="auto"/>
              <w:jc w:val="center"/>
            </w:pPr>
            <w:r>
              <w:t>193</w:t>
            </w:r>
          </w:p>
        </w:tc>
      </w:tr>
      <w:tr w14:paraId="7C39E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6" w:type="pct"/>
            <w:tcBorders>
              <w:top w:val="single" w:color="auto" w:sz="4" w:space="0"/>
              <w:left w:val="single" w:color="auto" w:sz="4" w:space="0"/>
              <w:bottom w:val="single" w:color="auto" w:sz="4" w:space="0"/>
              <w:right w:val="single" w:color="auto" w:sz="4" w:space="0"/>
            </w:tcBorders>
            <w:vAlign w:val="center"/>
          </w:tcPr>
          <w:p w14:paraId="013DC674">
            <w:pPr>
              <w:spacing w:line="240" w:lineRule="auto"/>
              <w:jc w:val="center"/>
            </w:pPr>
            <w:r>
              <w:t>PFⅠ3</w:t>
            </w:r>
          </w:p>
        </w:tc>
        <w:tc>
          <w:tcPr>
            <w:tcW w:w="535" w:type="pct"/>
            <w:tcBorders>
              <w:top w:val="single" w:color="auto" w:sz="4" w:space="0"/>
              <w:left w:val="nil"/>
              <w:bottom w:val="single" w:color="auto" w:sz="4" w:space="0"/>
              <w:right w:val="single" w:color="auto" w:sz="4" w:space="0"/>
            </w:tcBorders>
            <w:vAlign w:val="center"/>
          </w:tcPr>
          <w:p w14:paraId="39F2F814">
            <w:pPr>
              <w:spacing w:line="240" w:lineRule="auto"/>
              <w:jc w:val="center"/>
            </w:pPr>
            <w:r>
              <w:t>75</w:t>
            </w:r>
          </w:p>
        </w:tc>
        <w:tc>
          <w:tcPr>
            <w:tcW w:w="513" w:type="pct"/>
            <w:tcBorders>
              <w:top w:val="single" w:color="auto" w:sz="4" w:space="0"/>
              <w:left w:val="nil"/>
              <w:bottom w:val="single" w:color="auto" w:sz="4" w:space="0"/>
              <w:right w:val="single" w:color="auto" w:sz="4" w:space="0"/>
            </w:tcBorders>
            <w:vAlign w:val="center"/>
          </w:tcPr>
          <w:p w14:paraId="3923E9FD">
            <w:pPr>
              <w:spacing w:line="240" w:lineRule="auto"/>
              <w:jc w:val="center"/>
            </w:pPr>
            <w:r>
              <w:t>/</w:t>
            </w:r>
          </w:p>
        </w:tc>
        <w:tc>
          <w:tcPr>
            <w:tcW w:w="769" w:type="pct"/>
            <w:tcBorders>
              <w:top w:val="single" w:color="auto" w:sz="4" w:space="0"/>
              <w:left w:val="nil"/>
              <w:bottom w:val="single" w:color="auto" w:sz="4" w:space="0"/>
              <w:right w:val="single" w:color="auto" w:sz="4" w:space="0"/>
            </w:tcBorders>
            <w:vAlign w:val="center"/>
          </w:tcPr>
          <w:p w14:paraId="31D4623B">
            <w:pPr>
              <w:spacing w:line="240" w:lineRule="auto"/>
              <w:jc w:val="center"/>
            </w:pPr>
            <w:r>
              <w:t>/</w:t>
            </w:r>
          </w:p>
        </w:tc>
        <w:tc>
          <w:tcPr>
            <w:tcW w:w="599" w:type="pct"/>
            <w:tcBorders>
              <w:top w:val="single" w:color="auto" w:sz="4" w:space="0"/>
              <w:left w:val="nil"/>
              <w:bottom w:val="single" w:color="auto" w:sz="4" w:space="0"/>
              <w:right w:val="single" w:color="auto" w:sz="4" w:space="0"/>
            </w:tcBorders>
            <w:vAlign w:val="center"/>
          </w:tcPr>
          <w:p w14:paraId="3BC94AAC">
            <w:pPr>
              <w:spacing w:line="240" w:lineRule="auto"/>
              <w:jc w:val="center"/>
            </w:pPr>
            <w:r>
              <w:t>25</w:t>
            </w:r>
          </w:p>
        </w:tc>
        <w:tc>
          <w:tcPr>
            <w:tcW w:w="940" w:type="pct"/>
            <w:tcBorders>
              <w:top w:val="single" w:color="auto" w:sz="4" w:space="0"/>
              <w:left w:val="nil"/>
              <w:bottom w:val="single" w:color="auto" w:sz="4" w:space="0"/>
              <w:right w:val="single" w:color="auto" w:sz="4" w:space="0"/>
            </w:tcBorders>
            <w:vAlign w:val="center"/>
          </w:tcPr>
          <w:p w14:paraId="34428F23">
            <w:pPr>
              <w:spacing w:line="240" w:lineRule="auto"/>
              <w:jc w:val="center"/>
            </w:pPr>
            <w:r>
              <w:t>236</w:t>
            </w:r>
          </w:p>
        </w:tc>
        <w:tc>
          <w:tcPr>
            <w:tcW w:w="1069" w:type="pct"/>
            <w:tcBorders>
              <w:top w:val="single" w:color="auto" w:sz="4" w:space="0"/>
              <w:left w:val="nil"/>
              <w:bottom w:val="single" w:color="auto" w:sz="4" w:space="0"/>
              <w:right w:val="single" w:color="auto" w:sz="4" w:space="0"/>
            </w:tcBorders>
            <w:vAlign w:val="center"/>
          </w:tcPr>
          <w:p w14:paraId="787A05B5">
            <w:pPr>
              <w:spacing w:line="240" w:lineRule="auto"/>
              <w:jc w:val="center"/>
            </w:pPr>
            <w:r>
              <w:t>205</w:t>
            </w:r>
          </w:p>
        </w:tc>
      </w:tr>
      <w:tr w14:paraId="4E48B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6" w:type="pct"/>
            <w:tcBorders>
              <w:top w:val="single" w:color="auto" w:sz="4" w:space="0"/>
              <w:left w:val="single" w:color="auto" w:sz="4" w:space="0"/>
              <w:bottom w:val="single" w:color="auto" w:sz="4" w:space="0"/>
              <w:right w:val="single" w:color="auto" w:sz="4" w:space="0"/>
            </w:tcBorders>
            <w:vAlign w:val="center"/>
          </w:tcPr>
          <w:p w14:paraId="53AD31E5">
            <w:pPr>
              <w:spacing w:line="240" w:lineRule="auto"/>
              <w:jc w:val="center"/>
            </w:pPr>
            <w:r>
              <w:t>PFⅠ4</w:t>
            </w:r>
          </w:p>
        </w:tc>
        <w:tc>
          <w:tcPr>
            <w:tcW w:w="535" w:type="pct"/>
            <w:tcBorders>
              <w:top w:val="single" w:color="auto" w:sz="4" w:space="0"/>
              <w:left w:val="nil"/>
              <w:bottom w:val="single" w:color="auto" w:sz="4" w:space="0"/>
              <w:right w:val="single" w:color="auto" w:sz="4" w:space="0"/>
            </w:tcBorders>
            <w:vAlign w:val="center"/>
          </w:tcPr>
          <w:p w14:paraId="365FF5A2">
            <w:pPr>
              <w:spacing w:line="240" w:lineRule="auto"/>
              <w:jc w:val="center"/>
            </w:pPr>
            <w:r>
              <w:t>65</w:t>
            </w:r>
          </w:p>
        </w:tc>
        <w:tc>
          <w:tcPr>
            <w:tcW w:w="513" w:type="pct"/>
            <w:tcBorders>
              <w:top w:val="single" w:color="auto" w:sz="4" w:space="0"/>
              <w:left w:val="nil"/>
              <w:bottom w:val="single" w:color="auto" w:sz="4" w:space="0"/>
              <w:right w:val="single" w:color="auto" w:sz="4" w:space="0"/>
            </w:tcBorders>
            <w:vAlign w:val="center"/>
          </w:tcPr>
          <w:p w14:paraId="1A5F20B8">
            <w:pPr>
              <w:spacing w:line="240" w:lineRule="auto"/>
              <w:jc w:val="center"/>
            </w:pPr>
            <w:r>
              <w:t>/</w:t>
            </w:r>
          </w:p>
        </w:tc>
        <w:tc>
          <w:tcPr>
            <w:tcW w:w="769" w:type="pct"/>
            <w:tcBorders>
              <w:top w:val="single" w:color="auto" w:sz="4" w:space="0"/>
              <w:left w:val="nil"/>
              <w:bottom w:val="single" w:color="auto" w:sz="4" w:space="0"/>
              <w:right w:val="single" w:color="auto" w:sz="4" w:space="0"/>
            </w:tcBorders>
            <w:vAlign w:val="center"/>
          </w:tcPr>
          <w:p w14:paraId="4E76F6A7">
            <w:pPr>
              <w:spacing w:line="240" w:lineRule="auto"/>
              <w:jc w:val="center"/>
            </w:pPr>
            <w:r>
              <w:t>/</w:t>
            </w:r>
          </w:p>
        </w:tc>
        <w:tc>
          <w:tcPr>
            <w:tcW w:w="599" w:type="pct"/>
            <w:tcBorders>
              <w:top w:val="single" w:color="auto" w:sz="4" w:space="0"/>
              <w:left w:val="nil"/>
              <w:bottom w:val="single" w:color="auto" w:sz="4" w:space="0"/>
              <w:right w:val="single" w:color="auto" w:sz="4" w:space="0"/>
            </w:tcBorders>
            <w:vAlign w:val="center"/>
          </w:tcPr>
          <w:p w14:paraId="44E14D45">
            <w:pPr>
              <w:spacing w:line="240" w:lineRule="auto"/>
              <w:jc w:val="center"/>
            </w:pPr>
            <w:r>
              <w:t>35</w:t>
            </w:r>
          </w:p>
        </w:tc>
        <w:tc>
          <w:tcPr>
            <w:tcW w:w="940" w:type="pct"/>
            <w:tcBorders>
              <w:top w:val="single" w:color="auto" w:sz="4" w:space="0"/>
              <w:left w:val="nil"/>
              <w:bottom w:val="single" w:color="auto" w:sz="4" w:space="0"/>
              <w:right w:val="single" w:color="auto" w:sz="4" w:space="0"/>
            </w:tcBorders>
            <w:vAlign w:val="center"/>
          </w:tcPr>
          <w:p w14:paraId="125E196D">
            <w:pPr>
              <w:spacing w:line="240" w:lineRule="auto"/>
              <w:jc w:val="center"/>
            </w:pPr>
            <w:r>
              <w:t>242</w:t>
            </w:r>
          </w:p>
        </w:tc>
        <w:tc>
          <w:tcPr>
            <w:tcW w:w="1069" w:type="pct"/>
            <w:tcBorders>
              <w:top w:val="single" w:color="auto" w:sz="4" w:space="0"/>
              <w:left w:val="nil"/>
              <w:bottom w:val="single" w:color="auto" w:sz="4" w:space="0"/>
              <w:right w:val="single" w:color="auto" w:sz="4" w:space="0"/>
            </w:tcBorders>
            <w:vAlign w:val="center"/>
          </w:tcPr>
          <w:p w14:paraId="3F021768">
            <w:pPr>
              <w:spacing w:line="240" w:lineRule="auto"/>
              <w:jc w:val="center"/>
            </w:pPr>
            <w:r>
              <w:t>213</w:t>
            </w:r>
          </w:p>
        </w:tc>
      </w:tr>
    </w:tbl>
    <w:p w14:paraId="57646086">
      <w:pPr>
        <w:pStyle w:val="13"/>
        <w:jc w:val="center"/>
        <w:rPr>
          <w:rFonts w:ascii="Times New Roman" w:hAnsi="Times New Roman"/>
          <w:sz w:val="24"/>
          <w:szCs w:val="24"/>
        </w:rPr>
      </w:pPr>
      <w:r>
        <w:rPr>
          <w:rFonts w:ascii="Times New Roman" w:hAnsi="Times New Roman"/>
          <w:sz w:val="24"/>
          <w:szCs w:val="24"/>
        </w:rPr>
        <w:drawing>
          <wp:inline distT="0" distB="0" distL="0" distR="0">
            <wp:extent cx="3488055" cy="2355215"/>
            <wp:effectExtent l="0" t="0" r="0" b="6985"/>
            <wp:docPr id="181858411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4116" name="图片 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496805" cy="2361401"/>
                    </a:xfrm>
                    <a:prstGeom prst="rect">
                      <a:avLst/>
                    </a:prstGeom>
                    <a:noFill/>
                    <a:ln>
                      <a:noFill/>
                    </a:ln>
                  </pic:spPr>
                </pic:pic>
              </a:graphicData>
            </a:graphic>
          </wp:inline>
        </w:drawing>
      </w:r>
      <w:r>
        <w:rPr>
          <w:rFonts w:ascii="Times New Roman" w:hAnsi="Times New Roman"/>
          <w:sz w:val="24"/>
          <w:szCs w:val="24"/>
        </w:rPr>
        <w:t xml:space="preserve"> </w:t>
      </w:r>
    </w:p>
    <w:p w14:paraId="40D7C7ED">
      <w:pPr>
        <w:ind w:firstLine="480" w:firstLineChars="200"/>
        <w:jc w:val="center"/>
      </w:pPr>
      <w:bookmarkStart w:id="15" w:name="_Ref230719972"/>
      <w:bookmarkStart w:id="16" w:name="_Hlk230720526"/>
      <w:r>
        <w:rPr>
          <w:rFonts w:hint="eastAsia"/>
          <w:color w:val="000000"/>
        </w:rPr>
        <w:t>图</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5</w:t>
      </w:r>
      <w:r>
        <w:rPr>
          <w:color w:val="000000"/>
        </w:rPr>
        <w:fldChar w:fldCharType="end"/>
      </w:r>
      <w:bookmarkEnd w:id="15"/>
      <w:r>
        <w:rPr>
          <w:rFonts w:hint="eastAsia"/>
          <w:color w:val="000000"/>
        </w:rPr>
        <w:t xml:space="preserve"> </w:t>
      </w:r>
      <w:bookmarkEnd w:id="16"/>
      <w:r>
        <w:t>粉煤灰对水泥胶砂流动度影响</w:t>
      </w:r>
    </w:p>
    <w:p w14:paraId="311DA15F">
      <w:pPr>
        <w:ind w:firstLine="480" w:firstLineChars="200"/>
      </w:pPr>
      <w:r>
        <w:t>由</w:t>
      </w:r>
      <w:r>
        <w:fldChar w:fldCharType="begin"/>
      </w:r>
      <w:r>
        <w:instrText xml:space="preserve"> REF _Ref230719972 \h  \* MERGEFORMAT </w:instrText>
      </w:r>
      <w:r>
        <w:fldChar w:fldCharType="separate"/>
      </w:r>
      <w:r>
        <w:rPr>
          <w:rFonts w:hint="eastAsia"/>
          <w:color w:val="000000"/>
        </w:rPr>
        <w:t>图</w:t>
      </w:r>
      <w:r>
        <w:rPr>
          <w:color w:val="000000"/>
        </w:rPr>
        <w:t>5</w:t>
      </w:r>
      <w:r>
        <w:fldChar w:fldCharType="end"/>
      </w:r>
      <w:r>
        <w:t>可以看出，在掺料和掺量相同条件下时，水灰比0.5比0.45的胶砂流动度值要大一些，但无论在水灰比0.5或0.45时，掺三种粉煤灰的水泥胶砂流动度大致会随着粉煤灰的掺量增加而增加；这些结果表明适量的粉煤灰掺入水泥中，可以提高砂浆的流动度，特别是细度相对较小的物理改性粉煤灰与Ⅰ级粉煤灰。</w:t>
      </w:r>
    </w:p>
    <w:p w14:paraId="58C47DEC">
      <w:pPr>
        <w:ind w:firstLine="480" w:firstLineChars="200"/>
      </w:pPr>
      <w:r>
        <w:t>粉煤灰掺入砂浆中影响流动的原因由两个方面。一是粉煤灰中含有许多球形玻璃微珠，这些微珠在水泥颗粒间起到滚动作用，减小水泥颗粒间相对滑移时的阻力，增大了砂浆的流动度；二是粉煤灰颗粒填充在水泥颗粒之间，改善了胶凝材料粉末颗粒的级配，有利于浆体的流动。</w:t>
      </w:r>
    </w:p>
    <w:p w14:paraId="3E964D00">
      <w:pPr>
        <w:pStyle w:val="37"/>
        <w:numPr>
          <w:ilvl w:val="0"/>
          <w:numId w:val="5"/>
        </w:numPr>
      </w:pPr>
      <w:r>
        <w:t>强度</w:t>
      </w:r>
    </w:p>
    <w:p w14:paraId="2714D610">
      <w:pPr>
        <w:autoSpaceDE w:val="0"/>
        <w:ind w:firstLine="480" w:firstLineChars="200"/>
      </w:pPr>
      <w:r>
        <w:t>不同掺量和不同水灰比的原灰、物理改性粉煤灰、Ⅰ级粉煤灰的3天强度数据见</w:t>
      </w:r>
      <w:r>
        <w:fldChar w:fldCharType="begin"/>
      </w:r>
      <w:r>
        <w:instrText xml:space="preserve"> REF _Ref230720305 \h  \* MERGEFORMAT </w:instrText>
      </w:r>
      <w:r>
        <w:fldChar w:fldCharType="separate"/>
      </w:r>
      <w:r>
        <w:rPr>
          <w:rFonts w:hint="eastAsia"/>
        </w:rPr>
        <w:t>表</w:t>
      </w:r>
      <w:r>
        <w:t>11</w:t>
      </w:r>
      <w:r>
        <w:fldChar w:fldCharType="end"/>
      </w:r>
      <w:r>
        <w:rPr>
          <w:rFonts w:hint="eastAsia"/>
        </w:rPr>
        <w:t>。</w:t>
      </w:r>
    </w:p>
    <w:p w14:paraId="6564EE37">
      <w:pPr>
        <w:autoSpaceDE w:val="0"/>
        <w:ind w:firstLine="480" w:firstLineChars="200"/>
        <w:jc w:val="center"/>
      </w:pPr>
      <w:bookmarkStart w:id="17" w:name="_Ref230720305"/>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11</w:t>
      </w:r>
      <w:r>
        <w:fldChar w:fldCharType="end"/>
      </w:r>
      <w:bookmarkEnd w:id="17"/>
      <w:r>
        <w:rPr>
          <w:rFonts w:hint="eastAsia"/>
        </w:rPr>
        <w:t xml:space="preserve"> </w:t>
      </w:r>
      <w:r>
        <w:t>粉煤灰对水泥3天强度影响</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751"/>
        <w:gridCol w:w="728"/>
        <w:gridCol w:w="1969"/>
        <w:gridCol w:w="859"/>
        <w:gridCol w:w="859"/>
        <w:gridCol w:w="861"/>
        <w:gridCol w:w="822"/>
        <w:gridCol w:w="822"/>
      </w:tblGrid>
      <w:tr w14:paraId="609FF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500" w:type="pct"/>
            <w:vMerge w:val="restart"/>
            <w:tcBorders>
              <w:top w:val="single" w:color="auto" w:sz="4" w:space="0"/>
              <w:left w:val="single" w:color="auto" w:sz="4" w:space="0"/>
              <w:bottom w:val="single" w:color="auto" w:sz="4" w:space="0"/>
              <w:right w:val="single" w:color="auto" w:sz="4" w:space="0"/>
            </w:tcBorders>
            <w:vAlign w:val="center"/>
          </w:tcPr>
          <w:p w14:paraId="6C139BFB">
            <w:pPr>
              <w:autoSpaceDE w:val="0"/>
              <w:spacing w:line="240" w:lineRule="auto"/>
              <w:jc w:val="center"/>
            </w:pPr>
            <w:r>
              <w:t>编号</w:t>
            </w:r>
          </w:p>
        </w:tc>
        <w:tc>
          <w:tcPr>
            <w:tcW w:w="2527" w:type="pct"/>
            <w:gridSpan w:val="4"/>
            <w:tcBorders>
              <w:top w:val="single" w:color="auto" w:sz="4" w:space="0"/>
              <w:left w:val="nil"/>
              <w:bottom w:val="single" w:color="auto" w:sz="4" w:space="0"/>
              <w:right w:val="single" w:color="auto" w:sz="4" w:space="0"/>
            </w:tcBorders>
            <w:vAlign w:val="center"/>
          </w:tcPr>
          <w:p w14:paraId="4753CA85">
            <w:pPr>
              <w:autoSpaceDE w:val="0"/>
              <w:spacing w:line="240" w:lineRule="auto"/>
              <w:jc w:val="center"/>
            </w:pPr>
            <w:r>
              <w:t>配比（%）</w:t>
            </w:r>
          </w:p>
        </w:tc>
        <w:tc>
          <w:tcPr>
            <w:tcW w:w="1009" w:type="pct"/>
            <w:gridSpan w:val="2"/>
            <w:tcBorders>
              <w:top w:val="single" w:color="auto" w:sz="4" w:space="0"/>
              <w:left w:val="nil"/>
              <w:bottom w:val="single" w:color="auto" w:sz="4" w:space="0"/>
              <w:right w:val="single" w:color="auto" w:sz="4" w:space="0"/>
            </w:tcBorders>
            <w:vAlign w:val="center"/>
          </w:tcPr>
          <w:p w14:paraId="748D1E2A">
            <w:pPr>
              <w:autoSpaceDE w:val="0"/>
              <w:spacing w:line="240" w:lineRule="auto"/>
              <w:jc w:val="center"/>
            </w:pPr>
            <w:r>
              <w:t>3天水灰比0.50（MPa）</w:t>
            </w:r>
          </w:p>
        </w:tc>
        <w:tc>
          <w:tcPr>
            <w:tcW w:w="964" w:type="pct"/>
            <w:gridSpan w:val="2"/>
            <w:tcBorders>
              <w:top w:val="single" w:color="auto" w:sz="4" w:space="0"/>
              <w:left w:val="nil"/>
              <w:bottom w:val="single" w:color="auto" w:sz="4" w:space="0"/>
              <w:right w:val="single" w:color="auto" w:sz="4" w:space="0"/>
            </w:tcBorders>
            <w:vAlign w:val="center"/>
          </w:tcPr>
          <w:p w14:paraId="64CB26E5">
            <w:pPr>
              <w:autoSpaceDE w:val="0"/>
              <w:spacing w:line="240" w:lineRule="auto"/>
              <w:jc w:val="center"/>
            </w:pPr>
            <w:r>
              <w:t>3天水灰比0.45（MPa）</w:t>
            </w:r>
          </w:p>
        </w:tc>
      </w:tr>
      <w:tr w14:paraId="4DE6B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 w:type="pct"/>
            <w:vMerge w:val="continue"/>
            <w:tcBorders>
              <w:top w:val="single" w:color="auto" w:sz="4" w:space="0"/>
              <w:left w:val="single" w:color="auto" w:sz="4" w:space="0"/>
              <w:bottom w:val="single" w:color="auto" w:sz="4" w:space="0"/>
              <w:right w:val="single" w:color="auto" w:sz="4" w:space="0"/>
            </w:tcBorders>
            <w:vAlign w:val="center"/>
          </w:tcPr>
          <w:p w14:paraId="7529EDAD">
            <w:pPr>
              <w:spacing w:line="240" w:lineRule="auto"/>
              <w:jc w:val="left"/>
            </w:pPr>
          </w:p>
        </w:tc>
        <w:tc>
          <w:tcPr>
            <w:tcW w:w="441" w:type="pct"/>
            <w:tcBorders>
              <w:top w:val="single" w:color="auto" w:sz="4" w:space="0"/>
              <w:left w:val="nil"/>
              <w:bottom w:val="single" w:color="auto" w:sz="4" w:space="0"/>
              <w:right w:val="single" w:color="auto" w:sz="4" w:space="0"/>
            </w:tcBorders>
            <w:vAlign w:val="center"/>
          </w:tcPr>
          <w:p w14:paraId="64900A18">
            <w:pPr>
              <w:spacing w:line="240" w:lineRule="auto"/>
              <w:jc w:val="center"/>
            </w:pPr>
            <w:r>
              <w:t>水泥</w:t>
            </w:r>
          </w:p>
        </w:tc>
        <w:tc>
          <w:tcPr>
            <w:tcW w:w="427" w:type="pct"/>
            <w:tcBorders>
              <w:top w:val="single" w:color="auto" w:sz="4" w:space="0"/>
              <w:left w:val="nil"/>
              <w:bottom w:val="single" w:color="auto" w:sz="4" w:space="0"/>
              <w:right w:val="single" w:color="auto" w:sz="4" w:space="0"/>
            </w:tcBorders>
            <w:vAlign w:val="center"/>
          </w:tcPr>
          <w:p w14:paraId="04E02B7D">
            <w:pPr>
              <w:spacing w:line="240" w:lineRule="auto"/>
              <w:jc w:val="center"/>
            </w:pPr>
            <w:r>
              <w:t>原灰</w:t>
            </w:r>
          </w:p>
        </w:tc>
        <w:tc>
          <w:tcPr>
            <w:tcW w:w="1155" w:type="pct"/>
            <w:tcBorders>
              <w:top w:val="single" w:color="auto" w:sz="4" w:space="0"/>
              <w:left w:val="nil"/>
              <w:bottom w:val="single" w:color="auto" w:sz="4" w:space="0"/>
              <w:right w:val="single" w:color="auto" w:sz="4" w:space="0"/>
            </w:tcBorders>
            <w:vAlign w:val="center"/>
          </w:tcPr>
          <w:p w14:paraId="26F11C0D">
            <w:pPr>
              <w:spacing w:line="240" w:lineRule="auto"/>
              <w:jc w:val="center"/>
            </w:pPr>
            <w:r>
              <w:t>物理改性粉煤灰</w:t>
            </w:r>
          </w:p>
        </w:tc>
        <w:tc>
          <w:tcPr>
            <w:tcW w:w="503" w:type="pct"/>
            <w:tcBorders>
              <w:top w:val="single" w:color="auto" w:sz="4" w:space="0"/>
              <w:left w:val="nil"/>
              <w:bottom w:val="single" w:color="auto" w:sz="4" w:space="0"/>
              <w:right w:val="single" w:color="auto" w:sz="4" w:space="0"/>
            </w:tcBorders>
            <w:vAlign w:val="center"/>
          </w:tcPr>
          <w:p w14:paraId="0ACDD6B3">
            <w:pPr>
              <w:spacing w:line="240" w:lineRule="auto"/>
              <w:jc w:val="center"/>
            </w:pPr>
            <w:r>
              <w:t>Ⅰ级灰</w:t>
            </w:r>
          </w:p>
        </w:tc>
        <w:tc>
          <w:tcPr>
            <w:tcW w:w="504" w:type="pct"/>
            <w:tcBorders>
              <w:top w:val="single" w:color="auto" w:sz="4" w:space="0"/>
              <w:left w:val="nil"/>
              <w:bottom w:val="single" w:color="auto" w:sz="4" w:space="0"/>
              <w:right w:val="single" w:color="auto" w:sz="4" w:space="0"/>
            </w:tcBorders>
            <w:vAlign w:val="center"/>
          </w:tcPr>
          <w:p w14:paraId="15B23871">
            <w:pPr>
              <w:spacing w:line="240" w:lineRule="auto"/>
              <w:jc w:val="center"/>
            </w:pPr>
            <w:r>
              <w:t>抗折</w:t>
            </w:r>
          </w:p>
        </w:tc>
        <w:tc>
          <w:tcPr>
            <w:tcW w:w="505" w:type="pct"/>
            <w:tcBorders>
              <w:top w:val="single" w:color="auto" w:sz="4" w:space="0"/>
              <w:left w:val="nil"/>
              <w:bottom w:val="single" w:color="auto" w:sz="4" w:space="0"/>
              <w:right w:val="single" w:color="auto" w:sz="4" w:space="0"/>
            </w:tcBorders>
            <w:vAlign w:val="center"/>
          </w:tcPr>
          <w:p w14:paraId="712C0F5B">
            <w:pPr>
              <w:spacing w:line="240" w:lineRule="auto"/>
              <w:jc w:val="center"/>
            </w:pPr>
            <w:r>
              <w:t>抗压</w:t>
            </w:r>
          </w:p>
        </w:tc>
        <w:tc>
          <w:tcPr>
            <w:tcW w:w="482" w:type="pct"/>
            <w:tcBorders>
              <w:top w:val="single" w:color="auto" w:sz="4" w:space="0"/>
              <w:left w:val="nil"/>
              <w:bottom w:val="single" w:color="auto" w:sz="4" w:space="0"/>
              <w:right w:val="single" w:color="auto" w:sz="4" w:space="0"/>
            </w:tcBorders>
            <w:vAlign w:val="center"/>
          </w:tcPr>
          <w:p w14:paraId="4255FAC3">
            <w:pPr>
              <w:spacing w:line="240" w:lineRule="auto"/>
              <w:jc w:val="center"/>
            </w:pPr>
            <w:r>
              <w:t>抗折</w:t>
            </w:r>
          </w:p>
        </w:tc>
        <w:tc>
          <w:tcPr>
            <w:tcW w:w="482" w:type="pct"/>
            <w:tcBorders>
              <w:top w:val="single" w:color="auto" w:sz="4" w:space="0"/>
              <w:left w:val="nil"/>
              <w:bottom w:val="single" w:color="auto" w:sz="4" w:space="0"/>
              <w:right w:val="single" w:color="auto" w:sz="4" w:space="0"/>
            </w:tcBorders>
            <w:vAlign w:val="center"/>
          </w:tcPr>
          <w:p w14:paraId="7781E979">
            <w:pPr>
              <w:spacing w:line="240" w:lineRule="auto"/>
              <w:jc w:val="center"/>
            </w:pPr>
            <w:r>
              <w:t>抗压</w:t>
            </w:r>
          </w:p>
        </w:tc>
      </w:tr>
      <w:tr w14:paraId="1F06D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 w:type="pct"/>
            <w:tcBorders>
              <w:top w:val="single" w:color="auto" w:sz="4" w:space="0"/>
              <w:left w:val="single" w:color="auto" w:sz="4" w:space="0"/>
              <w:bottom w:val="single" w:color="auto" w:sz="4" w:space="0"/>
              <w:right w:val="single" w:color="auto" w:sz="4" w:space="0"/>
            </w:tcBorders>
            <w:vAlign w:val="center"/>
          </w:tcPr>
          <w:p w14:paraId="261208A5">
            <w:pPr>
              <w:spacing w:line="240" w:lineRule="auto"/>
              <w:jc w:val="center"/>
            </w:pPr>
            <w:r>
              <w:t>P0</w:t>
            </w:r>
          </w:p>
        </w:tc>
        <w:tc>
          <w:tcPr>
            <w:tcW w:w="441" w:type="pct"/>
            <w:tcBorders>
              <w:top w:val="single" w:color="auto" w:sz="4" w:space="0"/>
              <w:left w:val="nil"/>
              <w:bottom w:val="single" w:color="auto" w:sz="4" w:space="0"/>
              <w:right w:val="single" w:color="auto" w:sz="4" w:space="0"/>
            </w:tcBorders>
            <w:vAlign w:val="center"/>
          </w:tcPr>
          <w:p w14:paraId="1CE26FB8">
            <w:pPr>
              <w:spacing w:line="240" w:lineRule="auto"/>
              <w:jc w:val="center"/>
            </w:pPr>
            <w:r>
              <w:t>100</w:t>
            </w:r>
          </w:p>
        </w:tc>
        <w:tc>
          <w:tcPr>
            <w:tcW w:w="427" w:type="pct"/>
            <w:tcBorders>
              <w:top w:val="single" w:color="auto" w:sz="4" w:space="0"/>
              <w:left w:val="nil"/>
              <w:bottom w:val="single" w:color="auto" w:sz="4" w:space="0"/>
              <w:right w:val="single" w:color="auto" w:sz="4" w:space="0"/>
            </w:tcBorders>
            <w:vAlign w:val="center"/>
          </w:tcPr>
          <w:p w14:paraId="35E4AE27">
            <w:pPr>
              <w:spacing w:line="240" w:lineRule="auto"/>
              <w:jc w:val="center"/>
            </w:pPr>
            <w:r>
              <w:t>/</w:t>
            </w:r>
          </w:p>
        </w:tc>
        <w:tc>
          <w:tcPr>
            <w:tcW w:w="1155" w:type="pct"/>
            <w:tcBorders>
              <w:top w:val="single" w:color="auto" w:sz="4" w:space="0"/>
              <w:left w:val="nil"/>
              <w:bottom w:val="single" w:color="auto" w:sz="4" w:space="0"/>
              <w:right w:val="single" w:color="auto" w:sz="4" w:space="0"/>
            </w:tcBorders>
            <w:vAlign w:val="center"/>
          </w:tcPr>
          <w:p w14:paraId="20F9CC83">
            <w:pPr>
              <w:spacing w:line="240" w:lineRule="auto"/>
              <w:jc w:val="center"/>
            </w:pPr>
            <w:r>
              <w:t>/</w:t>
            </w:r>
          </w:p>
        </w:tc>
        <w:tc>
          <w:tcPr>
            <w:tcW w:w="503" w:type="pct"/>
            <w:tcBorders>
              <w:top w:val="single" w:color="auto" w:sz="4" w:space="0"/>
              <w:left w:val="nil"/>
              <w:bottom w:val="single" w:color="auto" w:sz="4" w:space="0"/>
              <w:right w:val="single" w:color="auto" w:sz="4" w:space="0"/>
            </w:tcBorders>
            <w:vAlign w:val="center"/>
          </w:tcPr>
          <w:p w14:paraId="2A2775DD">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46E16292">
            <w:pPr>
              <w:spacing w:line="240" w:lineRule="auto"/>
              <w:jc w:val="center"/>
            </w:pPr>
            <w:r>
              <w:t>5.8</w:t>
            </w:r>
          </w:p>
        </w:tc>
        <w:tc>
          <w:tcPr>
            <w:tcW w:w="505" w:type="pct"/>
            <w:tcBorders>
              <w:top w:val="single" w:color="auto" w:sz="4" w:space="0"/>
              <w:left w:val="nil"/>
              <w:bottom w:val="single" w:color="auto" w:sz="4" w:space="0"/>
              <w:right w:val="single" w:color="auto" w:sz="4" w:space="0"/>
            </w:tcBorders>
            <w:vAlign w:val="center"/>
          </w:tcPr>
          <w:p w14:paraId="4F8F5939">
            <w:pPr>
              <w:spacing w:line="240" w:lineRule="auto"/>
              <w:jc w:val="center"/>
            </w:pPr>
            <w:r>
              <w:t>29.3</w:t>
            </w:r>
          </w:p>
        </w:tc>
        <w:tc>
          <w:tcPr>
            <w:tcW w:w="482" w:type="pct"/>
            <w:tcBorders>
              <w:top w:val="single" w:color="auto" w:sz="4" w:space="0"/>
              <w:left w:val="nil"/>
              <w:bottom w:val="single" w:color="auto" w:sz="4" w:space="0"/>
              <w:right w:val="single" w:color="auto" w:sz="4" w:space="0"/>
            </w:tcBorders>
            <w:vAlign w:val="center"/>
          </w:tcPr>
          <w:p w14:paraId="495EC5E9">
            <w:pPr>
              <w:spacing w:line="240" w:lineRule="auto"/>
              <w:jc w:val="center"/>
            </w:pPr>
            <w:r>
              <w:t>6.4</w:t>
            </w:r>
          </w:p>
        </w:tc>
        <w:tc>
          <w:tcPr>
            <w:tcW w:w="482" w:type="pct"/>
            <w:tcBorders>
              <w:top w:val="single" w:color="auto" w:sz="4" w:space="0"/>
              <w:left w:val="nil"/>
              <w:bottom w:val="single" w:color="auto" w:sz="4" w:space="0"/>
              <w:right w:val="single" w:color="auto" w:sz="4" w:space="0"/>
            </w:tcBorders>
            <w:vAlign w:val="center"/>
          </w:tcPr>
          <w:p w14:paraId="53DB4C31">
            <w:pPr>
              <w:spacing w:line="240" w:lineRule="auto"/>
              <w:jc w:val="center"/>
            </w:pPr>
            <w:r>
              <w:t>36.8</w:t>
            </w:r>
          </w:p>
        </w:tc>
      </w:tr>
      <w:tr w14:paraId="7663E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 w:type="pct"/>
            <w:tcBorders>
              <w:top w:val="single" w:color="auto" w:sz="4" w:space="0"/>
              <w:left w:val="single" w:color="auto" w:sz="4" w:space="0"/>
              <w:bottom w:val="single" w:color="auto" w:sz="4" w:space="0"/>
              <w:right w:val="single" w:color="auto" w:sz="4" w:space="0"/>
            </w:tcBorders>
            <w:vAlign w:val="center"/>
          </w:tcPr>
          <w:p w14:paraId="648FECCA">
            <w:pPr>
              <w:spacing w:line="240" w:lineRule="auto"/>
              <w:jc w:val="center"/>
            </w:pPr>
            <w:r>
              <w:t>PFY1</w:t>
            </w:r>
          </w:p>
        </w:tc>
        <w:tc>
          <w:tcPr>
            <w:tcW w:w="441" w:type="pct"/>
            <w:tcBorders>
              <w:top w:val="single" w:color="auto" w:sz="4" w:space="0"/>
              <w:left w:val="nil"/>
              <w:bottom w:val="single" w:color="auto" w:sz="4" w:space="0"/>
              <w:right w:val="single" w:color="auto" w:sz="4" w:space="0"/>
            </w:tcBorders>
            <w:vAlign w:val="center"/>
          </w:tcPr>
          <w:p w14:paraId="007BEDE2">
            <w:pPr>
              <w:spacing w:line="240" w:lineRule="auto"/>
              <w:jc w:val="center"/>
            </w:pPr>
            <w:r>
              <w:t>95</w:t>
            </w:r>
          </w:p>
        </w:tc>
        <w:tc>
          <w:tcPr>
            <w:tcW w:w="427" w:type="pct"/>
            <w:tcBorders>
              <w:top w:val="single" w:color="auto" w:sz="4" w:space="0"/>
              <w:left w:val="nil"/>
              <w:bottom w:val="single" w:color="auto" w:sz="4" w:space="0"/>
              <w:right w:val="single" w:color="auto" w:sz="4" w:space="0"/>
            </w:tcBorders>
            <w:vAlign w:val="center"/>
          </w:tcPr>
          <w:p w14:paraId="2D61AB2E">
            <w:pPr>
              <w:spacing w:line="240" w:lineRule="auto"/>
              <w:jc w:val="center"/>
            </w:pPr>
            <w:r>
              <w:t>5</w:t>
            </w:r>
          </w:p>
        </w:tc>
        <w:tc>
          <w:tcPr>
            <w:tcW w:w="1155" w:type="pct"/>
            <w:tcBorders>
              <w:top w:val="single" w:color="auto" w:sz="4" w:space="0"/>
              <w:left w:val="nil"/>
              <w:bottom w:val="single" w:color="auto" w:sz="4" w:space="0"/>
              <w:right w:val="single" w:color="auto" w:sz="4" w:space="0"/>
            </w:tcBorders>
            <w:vAlign w:val="center"/>
          </w:tcPr>
          <w:p w14:paraId="16F0C068">
            <w:pPr>
              <w:spacing w:line="240" w:lineRule="auto"/>
              <w:jc w:val="center"/>
            </w:pPr>
            <w:r>
              <w:t>/</w:t>
            </w:r>
          </w:p>
        </w:tc>
        <w:tc>
          <w:tcPr>
            <w:tcW w:w="503" w:type="pct"/>
            <w:tcBorders>
              <w:top w:val="single" w:color="auto" w:sz="4" w:space="0"/>
              <w:left w:val="nil"/>
              <w:bottom w:val="single" w:color="auto" w:sz="4" w:space="0"/>
              <w:right w:val="single" w:color="auto" w:sz="4" w:space="0"/>
            </w:tcBorders>
            <w:vAlign w:val="center"/>
          </w:tcPr>
          <w:p w14:paraId="2D1219B5">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2A70EE43">
            <w:pPr>
              <w:spacing w:line="240" w:lineRule="auto"/>
              <w:jc w:val="center"/>
            </w:pPr>
            <w:r>
              <w:t>5.7</w:t>
            </w:r>
          </w:p>
        </w:tc>
        <w:tc>
          <w:tcPr>
            <w:tcW w:w="505" w:type="pct"/>
            <w:tcBorders>
              <w:top w:val="single" w:color="auto" w:sz="4" w:space="0"/>
              <w:left w:val="nil"/>
              <w:bottom w:val="single" w:color="auto" w:sz="4" w:space="0"/>
              <w:right w:val="single" w:color="auto" w:sz="4" w:space="0"/>
            </w:tcBorders>
            <w:vAlign w:val="center"/>
          </w:tcPr>
          <w:p w14:paraId="497156B2">
            <w:pPr>
              <w:spacing w:line="240" w:lineRule="auto"/>
              <w:jc w:val="center"/>
            </w:pPr>
            <w:r>
              <w:t>27.1</w:t>
            </w:r>
          </w:p>
        </w:tc>
        <w:tc>
          <w:tcPr>
            <w:tcW w:w="482" w:type="pct"/>
            <w:tcBorders>
              <w:top w:val="single" w:color="auto" w:sz="4" w:space="0"/>
              <w:left w:val="nil"/>
              <w:bottom w:val="single" w:color="auto" w:sz="4" w:space="0"/>
              <w:right w:val="single" w:color="auto" w:sz="4" w:space="0"/>
            </w:tcBorders>
            <w:vAlign w:val="center"/>
          </w:tcPr>
          <w:p w14:paraId="1C17BE66">
            <w:pPr>
              <w:spacing w:line="240" w:lineRule="auto"/>
              <w:jc w:val="center"/>
            </w:pPr>
            <w:r>
              <w:t>5.9</w:t>
            </w:r>
          </w:p>
        </w:tc>
        <w:tc>
          <w:tcPr>
            <w:tcW w:w="482" w:type="pct"/>
            <w:tcBorders>
              <w:top w:val="single" w:color="auto" w:sz="4" w:space="0"/>
              <w:left w:val="nil"/>
              <w:bottom w:val="single" w:color="auto" w:sz="4" w:space="0"/>
              <w:right w:val="single" w:color="auto" w:sz="4" w:space="0"/>
            </w:tcBorders>
            <w:vAlign w:val="center"/>
          </w:tcPr>
          <w:p w14:paraId="55F01509">
            <w:pPr>
              <w:spacing w:line="240" w:lineRule="auto"/>
              <w:jc w:val="center"/>
            </w:pPr>
            <w:r>
              <w:t>33.4</w:t>
            </w:r>
          </w:p>
        </w:tc>
      </w:tr>
      <w:tr w14:paraId="00E01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 w:type="pct"/>
            <w:tcBorders>
              <w:top w:val="single" w:color="auto" w:sz="4" w:space="0"/>
              <w:left w:val="single" w:color="auto" w:sz="4" w:space="0"/>
              <w:bottom w:val="single" w:color="auto" w:sz="4" w:space="0"/>
              <w:right w:val="single" w:color="auto" w:sz="4" w:space="0"/>
            </w:tcBorders>
            <w:vAlign w:val="center"/>
          </w:tcPr>
          <w:p w14:paraId="728D1CA5">
            <w:pPr>
              <w:spacing w:line="240" w:lineRule="auto"/>
              <w:jc w:val="center"/>
            </w:pPr>
            <w:r>
              <w:t>PFY2</w:t>
            </w:r>
          </w:p>
        </w:tc>
        <w:tc>
          <w:tcPr>
            <w:tcW w:w="441" w:type="pct"/>
            <w:tcBorders>
              <w:top w:val="single" w:color="auto" w:sz="4" w:space="0"/>
              <w:left w:val="nil"/>
              <w:bottom w:val="single" w:color="auto" w:sz="4" w:space="0"/>
              <w:right w:val="single" w:color="auto" w:sz="4" w:space="0"/>
            </w:tcBorders>
            <w:vAlign w:val="center"/>
          </w:tcPr>
          <w:p w14:paraId="2A90EA57">
            <w:pPr>
              <w:spacing w:line="240" w:lineRule="auto"/>
              <w:jc w:val="center"/>
            </w:pPr>
            <w:r>
              <w:t>85</w:t>
            </w:r>
          </w:p>
        </w:tc>
        <w:tc>
          <w:tcPr>
            <w:tcW w:w="427" w:type="pct"/>
            <w:tcBorders>
              <w:top w:val="single" w:color="auto" w:sz="4" w:space="0"/>
              <w:left w:val="nil"/>
              <w:bottom w:val="single" w:color="auto" w:sz="4" w:space="0"/>
              <w:right w:val="single" w:color="auto" w:sz="4" w:space="0"/>
            </w:tcBorders>
            <w:vAlign w:val="center"/>
          </w:tcPr>
          <w:p w14:paraId="147AE3F3">
            <w:pPr>
              <w:spacing w:line="240" w:lineRule="auto"/>
              <w:jc w:val="center"/>
            </w:pPr>
            <w:r>
              <w:t>15</w:t>
            </w:r>
          </w:p>
        </w:tc>
        <w:tc>
          <w:tcPr>
            <w:tcW w:w="1155" w:type="pct"/>
            <w:tcBorders>
              <w:top w:val="single" w:color="auto" w:sz="4" w:space="0"/>
              <w:left w:val="nil"/>
              <w:bottom w:val="single" w:color="auto" w:sz="4" w:space="0"/>
              <w:right w:val="single" w:color="auto" w:sz="4" w:space="0"/>
            </w:tcBorders>
            <w:vAlign w:val="center"/>
          </w:tcPr>
          <w:p w14:paraId="49879AAC">
            <w:pPr>
              <w:spacing w:line="240" w:lineRule="auto"/>
              <w:jc w:val="center"/>
            </w:pPr>
            <w:r>
              <w:t>/</w:t>
            </w:r>
          </w:p>
        </w:tc>
        <w:tc>
          <w:tcPr>
            <w:tcW w:w="503" w:type="pct"/>
            <w:tcBorders>
              <w:top w:val="single" w:color="auto" w:sz="4" w:space="0"/>
              <w:left w:val="nil"/>
              <w:bottom w:val="single" w:color="auto" w:sz="4" w:space="0"/>
              <w:right w:val="single" w:color="auto" w:sz="4" w:space="0"/>
            </w:tcBorders>
            <w:vAlign w:val="center"/>
          </w:tcPr>
          <w:p w14:paraId="72459791">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72D482C5">
            <w:pPr>
              <w:spacing w:line="240" w:lineRule="auto"/>
              <w:jc w:val="center"/>
            </w:pPr>
            <w:r>
              <w:t>5.2</w:t>
            </w:r>
          </w:p>
        </w:tc>
        <w:tc>
          <w:tcPr>
            <w:tcW w:w="505" w:type="pct"/>
            <w:tcBorders>
              <w:top w:val="single" w:color="auto" w:sz="4" w:space="0"/>
              <w:left w:val="nil"/>
              <w:bottom w:val="single" w:color="auto" w:sz="4" w:space="0"/>
              <w:right w:val="single" w:color="auto" w:sz="4" w:space="0"/>
            </w:tcBorders>
            <w:vAlign w:val="center"/>
          </w:tcPr>
          <w:p w14:paraId="5DA9AB63">
            <w:pPr>
              <w:spacing w:line="240" w:lineRule="auto"/>
              <w:jc w:val="center"/>
            </w:pPr>
            <w:r>
              <w:t>23.9</w:t>
            </w:r>
          </w:p>
        </w:tc>
        <w:tc>
          <w:tcPr>
            <w:tcW w:w="482" w:type="pct"/>
            <w:tcBorders>
              <w:top w:val="single" w:color="auto" w:sz="4" w:space="0"/>
              <w:left w:val="nil"/>
              <w:bottom w:val="single" w:color="auto" w:sz="4" w:space="0"/>
              <w:right w:val="single" w:color="auto" w:sz="4" w:space="0"/>
            </w:tcBorders>
            <w:vAlign w:val="center"/>
          </w:tcPr>
          <w:p w14:paraId="5120DD7D">
            <w:pPr>
              <w:spacing w:line="240" w:lineRule="auto"/>
              <w:jc w:val="center"/>
            </w:pPr>
            <w:r>
              <w:t>5.8</w:t>
            </w:r>
          </w:p>
        </w:tc>
        <w:tc>
          <w:tcPr>
            <w:tcW w:w="482" w:type="pct"/>
            <w:tcBorders>
              <w:top w:val="single" w:color="auto" w:sz="4" w:space="0"/>
              <w:left w:val="nil"/>
              <w:bottom w:val="single" w:color="auto" w:sz="4" w:space="0"/>
              <w:right w:val="single" w:color="auto" w:sz="4" w:space="0"/>
            </w:tcBorders>
            <w:vAlign w:val="center"/>
          </w:tcPr>
          <w:p w14:paraId="74DDED28">
            <w:pPr>
              <w:spacing w:line="240" w:lineRule="auto"/>
              <w:jc w:val="center"/>
            </w:pPr>
            <w:r>
              <w:t>30.2</w:t>
            </w:r>
          </w:p>
        </w:tc>
      </w:tr>
      <w:tr w14:paraId="77718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 w:type="pct"/>
            <w:tcBorders>
              <w:top w:val="single" w:color="auto" w:sz="4" w:space="0"/>
              <w:left w:val="single" w:color="auto" w:sz="4" w:space="0"/>
              <w:bottom w:val="single" w:color="auto" w:sz="4" w:space="0"/>
              <w:right w:val="single" w:color="auto" w:sz="4" w:space="0"/>
            </w:tcBorders>
            <w:vAlign w:val="center"/>
          </w:tcPr>
          <w:p w14:paraId="2F999D71">
            <w:pPr>
              <w:spacing w:line="240" w:lineRule="auto"/>
              <w:jc w:val="center"/>
            </w:pPr>
            <w:r>
              <w:t>PFY3</w:t>
            </w:r>
          </w:p>
        </w:tc>
        <w:tc>
          <w:tcPr>
            <w:tcW w:w="441" w:type="pct"/>
            <w:tcBorders>
              <w:top w:val="single" w:color="auto" w:sz="4" w:space="0"/>
              <w:left w:val="nil"/>
              <w:bottom w:val="single" w:color="auto" w:sz="4" w:space="0"/>
              <w:right w:val="single" w:color="auto" w:sz="4" w:space="0"/>
            </w:tcBorders>
            <w:vAlign w:val="center"/>
          </w:tcPr>
          <w:p w14:paraId="3339CB13">
            <w:pPr>
              <w:spacing w:line="240" w:lineRule="auto"/>
              <w:jc w:val="center"/>
            </w:pPr>
            <w:r>
              <w:t>75</w:t>
            </w:r>
          </w:p>
        </w:tc>
        <w:tc>
          <w:tcPr>
            <w:tcW w:w="427" w:type="pct"/>
            <w:tcBorders>
              <w:top w:val="single" w:color="auto" w:sz="4" w:space="0"/>
              <w:left w:val="nil"/>
              <w:bottom w:val="single" w:color="auto" w:sz="4" w:space="0"/>
              <w:right w:val="single" w:color="auto" w:sz="4" w:space="0"/>
            </w:tcBorders>
            <w:vAlign w:val="center"/>
          </w:tcPr>
          <w:p w14:paraId="4B3060C5">
            <w:pPr>
              <w:spacing w:line="240" w:lineRule="auto"/>
              <w:jc w:val="center"/>
            </w:pPr>
            <w:r>
              <w:t>25</w:t>
            </w:r>
          </w:p>
        </w:tc>
        <w:tc>
          <w:tcPr>
            <w:tcW w:w="1155" w:type="pct"/>
            <w:tcBorders>
              <w:top w:val="single" w:color="auto" w:sz="4" w:space="0"/>
              <w:left w:val="nil"/>
              <w:bottom w:val="single" w:color="auto" w:sz="4" w:space="0"/>
              <w:right w:val="single" w:color="auto" w:sz="4" w:space="0"/>
            </w:tcBorders>
            <w:vAlign w:val="center"/>
          </w:tcPr>
          <w:p w14:paraId="19FD44FD">
            <w:pPr>
              <w:spacing w:line="240" w:lineRule="auto"/>
              <w:jc w:val="center"/>
            </w:pPr>
            <w:r>
              <w:t>/</w:t>
            </w:r>
          </w:p>
        </w:tc>
        <w:tc>
          <w:tcPr>
            <w:tcW w:w="503" w:type="pct"/>
            <w:tcBorders>
              <w:top w:val="single" w:color="auto" w:sz="4" w:space="0"/>
              <w:left w:val="nil"/>
              <w:bottom w:val="single" w:color="auto" w:sz="4" w:space="0"/>
              <w:right w:val="single" w:color="auto" w:sz="4" w:space="0"/>
            </w:tcBorders>
            <w:vAlign w:val="center"/>
          </w:tcPr>
          <w:p w14:paraId="244C70C8">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238F7E74">
            <w:pPr>
              <w:spacing w:line="240" w:lineRule="auto"/>
              <w:jc w:val="center"/>
            </w:pPr>
            <w:r>
              <w:t>4.5</w:t>
            </w:r>
          </w:p>
        </w:tc>
        <w:tc>
          <w:tcPr>
            <w:tcW w:w="505" w:type="pct"/>
            <w:tcBorders>
              <w:top w:val="single" w:color="auto" w:sz="4" w:space="0"/>
              <w:left w:val="nil"/>
              <w:bottom w:val="single" w:color="auto" w:sz="4" w:space="0"/>
              <w:right w:val="single" w:color="auto" w:sz="4" w:space="0"/>
            </w:tcBorders>
            <w:vAlign w:val="center"/>
          </w:tcPr>
          <w:p w14:paraId="52F2DACB">
            <w:pPr>
              <w:spacing w:line="240" w:lineRule="auto"/>
              <w:jc w:val="center"/>
            </w:pPr>
            <w:r>
              <w:t>19.9</w:t>
            </w:r>
          </w:p>
        </w:tc>
        <w:tc>
          <w:tcPr>
            <w:tcW w:w="482" w:type="pct"/>
            <w:tcBorders>
              <w:top w:val="single" w:color="auto" w:sz="4" w:space="0"/>
              <w:left w:val="nil"/>
              <w:bottom w:val="single" w:color="auto" w:sz="4" w:space="0"/>
              <w:right w:val="single" w:color="auto" w:sz="4" w:space="0"/>
            </w:tcBorders>
            <w:vAlign w:val="center"/>
          </w:tcPr>
          <w:p w14:paraId="49C06F7E">
            <w:pPr>
              <w:spacing w:line="240" w:lineRule="auto"/>
              <w:jc w:val="center"/>
            </w:pPr>
            <w:r>
              <w:t>5.2</w:t>
            </w:r>
          </w:p>
        </w:tc>
        <w:tc>
          <w:tcPr>
            <w:tcW w:w="482" w:type="pct"/>
            <w:tcBorders>
              <w:top w:val="single" w:color="auto" w:sz="4" w:space="0"/>
              <w:left w:val="nil"/>
              <w:bottom w:val="single" w:color="auto" w:sz="4" w:space="0"/>
              <w:right w:val="single" w:color="auto" w:sz="4" w:space="0"/>
            </w:tcBorders>
            <w:vAlign w:val="center"/>
          </w:tcPr>
          <w:p w14:paraId="76821521">
            <w:pPr>
              <w:spacing w:line="240" w:lineRule="auto"/>
              <w:jc w:val="center"/>
            </w:pPr>
            <w:r>
              <w:t>25.3</w:t>
            </w:r>
          </w:p>
        </w:tc>
      </w:tr>
      <w:tr w14:paraId="27F64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 w:type="pct"/>
            <w:tcBorders>
              <w:top w:val="single" w:color="auto" w:sz="4" w:space="0"/>
              <w:left w:val="single" w:color="auto" w:sz="4" w:space="0"/>
              <w:bottom w:val="single" w:color="auto" w:sz="4" w:space="0"/>
              <w:right w:val="single" w:color="auto" w:sz="4" w:space="0"/>
            </w:tcBorders>
            <w:vAlign w:val="center"/>
          </w:tcPr>
          <w:p w14:paraId="58CCEBB4">
            <w:pPr>
              <w:spacing w:line="240" w:lineRule="auto"/>
              <w:jc w:val="center"/>
            </w:pPr>
            <w:r>
              <w:t>PFY4</w:t>
            </w:r>
          </w:p>
        </w:tc>
        <w:tc>
          <w:tcPr>
            <w:tcW w:w="441" w:type="pct"/>
            <w:tcBorders>
              <w:top w:val="single" w:color="auto" w:sz="4" w:space="0"/>
              <w:left w:val="nil"/>
              <w:bottom w:val="single" w:color="auto" w:sz="4" w:space="0"/>
              <w:right w:val="single" w:color="auto" w:sz="4" w:space="0"/>
            </w:tcBorders>
            <w:vAlign w:val="center"/>
          </w:tcPr>
          <w:p w14:paraId="487B4E41">
            <w:pPr>
              <w:spacing w:line="240" w:lineRule="auto"/>
              <w:jc w:val="center"/>
            </w:pPr>
            <w:r>
              <w:t>65</w:t>
            </w:r>
          </w:p>
        </w:tc>
        <w:tc>
          <w:tcPr>
            <w:tcW w:w="427" w:type="pct"/>
            <w:tcBorders>
              <w:top w:val="single" w:color="auto" w:sz="4" w:space="0"/>
              <w:left w:val="nil"/>
              <w:bottom w:val="single" w:color="auto" w:sz="4" w:space="0"/>
              <w:right w:val="single" w:color="auto" w:sz="4" w:space="0"/>
            </w:tcBorders>
            <w:vAlign w:val="center"/>
          </w:tcPr>
          <w:p w14:paraId="3D75E2BD">
            <w:pPr>
              <w:spacing w:line="240" w:lineRule="auto"/>
              <w:jc w:val="center"/>
            </w:pPr>
            <w:r>
              <w:t>35</w:t>
            </w:r>
          </w:p>
        </w:tc>
        <w:tc>
          <w:tcPr>
            <w:tcW w:w="1155" w:type="pct"/>
            <w:tcBorders>
              <w:top w:val="single" w:color="auto" w:sz="4" w:space="0"/>
              <w:left w:val="nil"/>
              <w:bottom w:val="single" w:color="auto" w:sz="4" w:space="0"/>
              <w:right w:val="single" w:color="auto" w:sz="4" w:space="0"/>
            </w:tcBorders>
            <w:vAlign w:val="center"/>
          </w:tcPr>
          <w:p w14:paraId="6E883F4E">
            <w:pPr>
              <w:spacing w:line="240" w:lineRule="auto"/>
              <w:jc w:val="center"/>
            </w:pPr>
            <w:r>
              <w:t>/</w:t>
            </w:r>
          </w:p>
        </w:tc>
        <w:tc>
          <w:tcPr>
            <w:tcW w:w="503" w:type="pct"/>
            <w:tcBorders>
              <w:top w:val="single" w:color="auto" w:sz="4" w:space="0"/>
              <w:left w:val="nil"/>
              <w:bottom w:val="single" w:color="auto" w:sz="4" w:space="0"/>
              <w:right w:val="single" w:color="auto" w:sz="4" w:space="0"/>
            </w:tcBorders>
            <w:vAlign w:val="center"/>
          </w:tcPr>
          <w:p w14:paraId="7BF17A95">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79F8B204">
            <w:pPr>
              <w:spacing w:line="240" w:lineRule="auto"/>
              <w:jc w:val="center"/>
            </w:pPr>
            <w:r>
              <w:t>3.6</w:t>
            </w:r>
          </w:p>
        </w:tc>
        <w:tc>
          <w:tcPr>
            <w:tcW w:w="505" w:type="pct"/>
            <w:tcBorders>
              <w:top w:val="single" w:color="auto" w:sz="4" w:space="0"/>
              <w:left w:val="nil"/>
              <w:bottom w:val="single" w:color="auto" w:sz="4" w:space="0"/>
              <w:right w:val="single" w:color="auto" w:sz="4" w:space="0"/>
            </w:tcBorders>
            <w:vAlign w:val="center"/>
          </w:tcPr>
          <w:p w14:paraId="54D24873">
            <w:pPr>
              <w:spacing w:line="240" w:lineRule="auto"/>
              <w:jc w:val="center"/>
            </w:pPr>
            <w:r>
              <w:t>15.3</w:t>
            </w:r>
          </w:p>
        </w:tc>
        <w:tc>
          <w:tcPr>
            <w:tcW w:w="482" w:type="pct"/>
            <w:tcBorders>
              <w:top w:val="single" w:color="auto" w:sz="4" w:space="0"/>
              <w:left w:val="nil"/>
              <w:bottom w:val="single" w:color="auto" w:sz="4" w:space="0"/>
              <w:right w:val="single" w:color="auto" w:sz="4" w:space="0"/>
            </w:tcBorders>
            <w:vAlign w:val="center"/>
          </w:tcPr>
          <w:p w14:paraId="22324D81">
            <w:pPr>
              <w:spacing w:line="240" w:lineRule="auto"/>
              <w:jc w:val="center"/>
            </w:pPr>
            <w:r>
              <w:t>4.1</w:t>
            </w:r>
          </w:p>
        </w:tc>
        <w:tc>
          <w:tcPr>
            <w:tcW w:w="482" w:type="pct"/>
            <w:tcBorders>
              <w:top w:val="single" w:color="auto" w:sz="4" w:space="0"/>
              <w:left w:val="nil"/>
              <w:bottom w:val="single" w:color="auto" w:sz="4" w:space="0"/>
              <w:right w:val="single" w:color="auto" w:sz="4" w:space="0"/>
            </w:tcBorders>
            <w:vAlign w:val="center"/>
          </w:tcPr>
          <w:p w14:paraId="7ED40CA6">
            <w:pPr>
              <w:spacing w:line="240" w:lineRule="auto"/>
              <w:jc w:val="center"/>
            </w:pPr>
            <w:r>
              <w:t>19.7</w:t>
            </w:r>
          </w:p>
        </w:tc>
      </w:tr>
      <w:tr w14:paraId="53334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 w:type="pct"/>
            <w:tcBorders>
              <w:top w:val="single" w:color="auto" w:sz="4" w:space="0"/>
              <w:left w:val="single" w:color="auto" w:sz="4" w:space="0"/>
              <w:bottom w:val="single" w:color="auto" w:sz="4" w:space="0"/>
              <w:right w:val="single" w:color="auto" w:sz="4" w:space="0"/>
            </w:tcBorders>
            <w:vAlign w:val="center"/>
          </w:tcPr>
          <w:p w14:paraId="2DB84AC0">
            <w:pPr>
              <w:spacing w:line="240" w:lineRule="auto"/>
              <w:jc w:val="center"/>
            </w:pPr>
            <w:r>
              <w:t>PFW1</w:t>
            </w:r>
          </w:p>
        </w:tc>
        <w:tc>
          <w:tcPr>
            <w:tcW w:w="441" w:type="pct"/>
            <w:tcBorders>
              <w:top w:val="single" w:color="auto" w:sz="4" w:space="0"/>
              <w:left w:val="nil"/>
              <w:bottom w:val="single" w:color="auto" w:sz="4" w:space="0"/>
              <w:right w:val="single" w:color="auto" w:sz="4" w:space="0"/>
            </w:tcBorders>
            <w:vAlign w:val="center"/>
          </w:tcPr>
          <w:p w14:paraId="121868CA">
            <w:pPr>
              <w:spacing w:line="240" w:lineRule="auto"/>
              <w:jc w:val="center"/>
            </w:pPr>
            <w:r>
              <w:t>95</w:t>
            </w:r>
          </w:p>
        </w:tc>
        <w:tc>
          <w:tcPr>
            <w:tcW w:w="427" w:type="pct"/>
            <w:tcBorders>
              <w:top w:val="single" w:color="auto" w:sz="4" w:space="0"/>
              <w:left w:val="nil"/>
              <w:bottom w:val="single" w:color="auto" w:sz="4" w:space="0"/>
              <w:right w:val="single" w:color="auto" w:sz="4" w:space="0"/>
            </w:tcBorders>
            <w:vAlign w:val="center"/>
          </w:tcPr>
          <w:p w14:paraId="4D78DA55">
            <w:pPr>
              <w:spacing w:line="240" w:lineRule="auto"/>
              <w:jc w:val="center"/>
            </w:pPr>
            <w:r>
              <w:t>/</w:t>
            </w:r>
          </w:p>
        </w:tc>
        <w:tc>
          <w:tcPr>
            <w:tcW w:w="1155" w:type="pct"/>
            <w:tcBorders>
              <w:top w:val="single" w:color="auto" w:sz="4" w:space="0"/>
              <w:left w:val="nil"/>
              <w:bottom w:val="single" w:color="auto" w:sz="4" w:space="0"/>
              <w:right w:val="single" w:color="auto" w:sz="4" w:space="0"/>
            </w:tcBorders>
            <w:vAlign w:val="center"/>
          </w:tcPr>
          <w:p w14:paraId="305CDDA0">
            <w:pPr>
              <w:spacing w:line="240" w:lineRule="auto"/>
              <w:jc w:val="center"/>
            </w:pPr>
            <w:r>
              <w:t>5</w:t>
            </w:r>
          </w:p>
        </w:tc>
        <w:tc>
          <w:tcPr>
            <w:tcW w:w="503" w:type="pct"/>
            <w:tcBorders>
              <w:top w:val="single" w:color="auto" w:sz="4" w:space="0"/>
              <w:left w:val="nil"/>
              <w:bottom w:val="single" w:color="auto" w:sz="4" w:space="0"/>
              <w:right w:val="single" w:color="auto" w:sz="4" w:space="0"/>
            </w:tcBorders>
            <w:vAlign w:val="center"/>
          </w:tcPr>
          <w:p w14:paraId="75AF086E">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56E364D6">
            <w:pPr>
              <w:spacing w:line="240" w:lineRule="auto"/>
              <w:jc w:val="center"/>
            </w:pPr>
            <w:r>
              <w:t>5.6</w:t>
            </w:r>
          </w:p>
        </w:tc>
        <w:tc>
          <w:tcPr>
            <w:tcW w:w="505" w:type="pct"/>
            <w:tcBorders>
              <w:top w:val="single" w:color="auto" w:sz="4" w:space="0"/>
              <w:left w:val="nil"/>
              <w:bottom w:val="single" w:color="auto" w:sz="4" w:space="0"/>
              <w:right w:val="single" w:color="auto" w:sz="4" w:space="0"/>
            </w:tcBorders>
            <w:vAlign w:val="center"/>
          </w:tcPr>
          <w:p w14:paraId="6CA04FC3">
            <w:pPr>
              <w:spacing w:line="240" w:lineRule="auto"/>
              <w:jc w:val="center"/>
            </w:pPr>
            <w:r>
              <w:t>26.8</w:t>
            </w:r>
          </w:p>
        </w:tc>
        <w:tc>
          <w:tcPr>
            <w:tcW w:w="482" w:type="pct"/>
            <w:tcBorders>
              <w:top w:val="single" w:color="auto" w:sz="4" w:space="0"/>
              <w:left w:val="nil"/>
              <w:bottom w:val="single" w:color="auto" w:sz="4" w:space="0"/>
              <w:right w:val="single" w:color="auto" w:sz="4" w:space="0"/>
            </w:tcBorders>
            <w:vAlign w:val="center"/>
          </w:tcPr>
          <w:p w14:paraId="5D20ECDD">
            <w:pPr>
              <w:spacing w:line="240" w:lineRule="auto"/>
              <w:jc w:val="center"/>
            </w:pPr>
            <w:r>
              <w:t>6.2</w:t>
            </w:r>
          </w:p>
        </w:tc>
        <w:tc>
          <w:tcPr>
            <w:tcW w:w="482" w:type="pct"/>
            <w:tcBorders>
              <w:top w:val="single" w:color="auto" w:sz="4" w:space="0"/>
              <w:left w:val="nil"/>
              <w:bottom w:val="single" w:color="auto" w:sz="4" w:space="0"/>
              <w:right w:val="single" w:color="auto" w:sz="4" w:space="0"/>
            </w:tcBorders>
            <w:vAlign w:val="center"/>
          </w:tcPr>
          <w:p w14:paraId="532BD265">
            <w:pPr>
              <w:spacing w:line="240" w:lineRule="auto"/>
              <w:jc w:val="center"/>
            </w:pPr>
            <w:r>
              <w:t>32.9</w:t>
            </w:r>
          </w:p>
        </w:tc>
      </w:tr>
      <w:tr w14:paraId="13D19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 w:type="pct"/>
            <w:tcBorders>
              <w:top w:val="single" w:color="auto" w:sz="4" w:space="0"/>
              <w:left w:val="single" w:color="auto" w:sz="4" w:space="0"/>
              <w:bottom w:val="single" w:color="auto" w:sz="4" w:space="0"/>
              <w:right w:val="single" w:color="auto" w:sz="4" w:space="0"/>
            </w:tcBorders>
            <w:vAlign w:val="center"/>
          </w:tcPr>
          <w:p w14:paraId="721FB5D3">
            <w:pPr>
              <w:spacing w:line="240" w:lineRule="auto"/>
              <w:jc w:val="center"/>
            </w:pPr>
            <w:r>
              <w:t>PFW2</w:t>
            </w:r>
          </w:p>
        </w:tc>
        <w:tc>
          <w:tcPr>
            <w:tcW w:w="441" w:type="pct"/>
            <w:tcBorders>
              <w:top w:val="single" w:color="auto" w:sz="4" w:space="0"/>
              <w:left w:val="nil"/>
              <w:bottom w:val="single" w:color="auto" w:sz="4" w:space="0"/>
              <w:right w:val="single" w:color="auto" w:sz="4" w:space="0"/>
            </w:tcBorders>
            <w:vAlign w:val="center"/>
          </w:tcPr>
          <w:p w14:paraId="458F5225">
            <w:pPr>
              <w:spacing w:line="240" w:lineRule="auto"/>
              <w:jc w:val="center"/>
            </w:pPr>
            <w:r>
              <w:t>85</w:t>
            </w:r>
          </w:p>
        </w:tc>
        <w:tc>
          <w:tcPr>
            <w:tcW w:w="427" w:type="pct"/>
            <w:tcBorders>
              <w:top w:val="single" w:color="auto" w:sz="4" w:space="0"/>
              <w:left w:val="nil"/>
              <w:bottom w:val="single" w:color="auto" w:sz="4" w:space="0"/>
              <w:right w:val="single" w:color="auto" w:sz="4" w:space="0"/>
            </w:tcBorders>
            <w:vAlign w:val="center"/>
          </w:tcPr>
          <w:p w14:paraId="264F1DE6">
            <w:pPr>
              <w:spacing w:line="240" w:lineRule="auto"/>
              <w:jc w:val="center"/>
            </w:pPr>
            <w:r>
              <w:t>/</w:t>
            </w:r>
          </w:p>
        </w:tc>
        <w:tc>
          <w:tcPr>
            <w:tcW w:w="1155" w:type="pct"/>
            <w:tcBorders>
              <w:top w:val="single" w:color="auto" w:sz="4" w:space="0"/>
              <w:left w:val="nil"/>
              <w:bottom w:val="single" w:color="auto" w:sz="4" w:space="0"/>
              <w:right w:val="single" w:color="auto" w:sz="4" w:space="0"/>
            </w:tcBorders>
            <w:vAlign w:val="center"/>
          </w:tcPr>
          <w:p w14:paraId="443ACCD5">
            <w:pPr>
              <w:spacing w:line="240" w:lineRule="auto"/>
              <w:jc w:val="center"/>
            </w:pPr>
            <w:r>
              <w:t>15</w:t>
            </w:r>
          </w:p>
        </w:tc>
        <w:tc>
          <w:tcPr>
            <w:tcW w:w="503" w:type="pct"/>
            <w:tcBorders>
              <w:top w:val="single" w:color="auto" w:sz="4" w:space="0"/>
              <w:left w:val="nil"/>
              <w:bottom w:val="single" w:color="auto" w:sz="4" w:space="0"/>
              <w:right w:val="single" w:color="auto" w:sz="4" w:space="0"/>
            </w:tcBorders>
            <w:vAlign w:val="center"/>
          </w:tcPr>
          <w:p w14:paraId="1ED0DDC6">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4DD8B8F7">
            <w:pPr>
              <w:spacing w:line="240" w:lineRule="auto"/>
              <w:jc w:val="center"/>
            </w:pPr>
            <w:r>
              <w:t>5.2</w:t>
            </w:r>
          </w:p>
        </w:tc>
        <w:tc>
          <w:tcPr>
            <w:tcW w:w="505" w:type="pct"/>
            <w:tcBorders>
              <w:top w:val="single" w:color="auto" w:sz="4" w:space="0"/>
              <w:left w:val="nil"/>
              <w:bottom w:val="single" w:color="auto" w:sz="4" w:space="0"/>
              <w:right w:val="single" w:color="auto" w:sz="4" w:space="0"/>
            </w:tcBorders>
            <w:vAlign w:val="center"/>
          </w:tcPr>
          <w:p w14:paraId="0E3CB2E0">
            <w:pPr>
              <w:spacing w:line="240" w:lineRule="auto"/>
              <w:jc w:val="center"/>
            </w:pPr>
            <w:r>
              <w:t>23.8</w:t>
            </w:r>
          </w:p>
        </w:tc>
        <w:tc>
          <w:tcPr>
            <w:tcW w:w="482" w:type="pct"/>
            <w:tcBorders>
              <w:top w:val="single" w:color="auto" w:sz="4" w:space="0"/>
              <w:left w:val="nil"/>
              <w:bottom w:val="single" w:color="auto" w:sz="4" w:space="0"/>
              <w:right w:val="single" w:color="auto" w:sz="4" w:space="0"/>
            </w:tcBorders>
            <w:vAlign w:val="center"/>
          </w:tcPr>
          <w:p w14:paraId="49A6F85E">
            <w:pPr>
              <w:spacing w:line="240" w:lineRule="auto"/>
              <w:jc w:val="center"/>
            </w:pPr>
            <w:r>
              <w:t>5.9</w:t>
            </w:r>
          </w:p>
        </w:tc>
        <w:tc>
          <w:tcPr>
            <w:tcW w:w="482" w:type="pct"/>
            <w:tcBorders>
              <w:top w:val="single" w:color="auto" w:sz="4" w:space="0"/>
              <w:left w:val="nil"/>
              <w:bottom w:val="single" w:color="auto" w:sz="4" w:space="0"/>
              <w:right w:val="single" w:color="auto" w:sz="4" w:space="0"/>
            </w:tcBorders>
            <w:vAlign w:val="center"/>
          </w:tcPr>
          <w:p w14:paraId="25930272">
            <w:pPr>
              <w:spacing w:line="240" w:lineRule="auto"/>
              <w:jc w:val="center"/>
            </w:pPr>
            <w:r>
              <w:t>30.3</w:t>
            </w:r>
          </w:p>
        </w:tc>
      </w:tr>
      <w:tr w14:paraId="29120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 w:type="pct"/>
            <w:tcBorders>
              <w:top w:val="single" w:color="auto" w:sz="4" w:space="0"/>
              <w:left w:val="single" w:color="auto" w:sz="4" w:space="0"/>
              <w:bottom w:val="single" w:color="auto" w:sz="4" w:space="0"/>
              <w:right w:val="single" w:color="auto" w:sz="4" w:space="0"/>
            </w:tcBorders>
            <w:vAlign w:val="center"/>
          </w:tcPr>
          <w:p w14:paraId="6993FF9B">
            <w:pPr>
              <w:spacing w:line="240" w:lineRule="auto"/>
              <w:jc w:val="center"/>
            </w:pPr>
            <w:r>
              <w:t>PFW3</w:t>
            </w:r>
          </w:p>
        </w:tc>
        <w:tc>
          <w:tcPr>
            <w:tcW w:w="441" w:type="pct"/>
            <w:tcBorders>
              <w:top w:val="single" w:color="auto" w:sz="4" w:space="0"/>
              <w:left w:val="nil"/>
              <w:bottom w:val="single" w:color="auto" w:sz="4" w:space="0"/>
              <w:right w:val="single" w:color="auto" w:sz="4" w:space="0"/>
            </w:tcBorders>
            <w:vAlign w:val="center"/>
          </w:tcPr>
          <w:p w14:paraId="6DC1DC89">
            <w:pPr>
              <w:spacing w:line="240" w:lineRule="auto"/>
              <w:jc w:val="center"/>
            </w:pPr>
            <w:r>
              <w:t>75</w:t>
            </w:r>
          </w:p>
        </w:tc>
        <w:tc>
          <w:tcPr>
            <w:tcW w:w="427" w:type="pct"/>
            <w:tcBorders>
              <w:top w:val="single" w:color="auto" w:sz="4" w:space="0"/>
              <w:left w:val="nil"/>
              <w:bottom w:val="single" w:color="auto" w:sz="4" w:space="0"/>
              <w:right w:val="single" w:color="auto" w:sz="4" w:space="0"/>
            </w:tcBorders>
            <w:vAlign w:val="center"/>
          </w:tcPr>
          <w:p w14:paraId="41365DF1">
            <w:pPr>
              <w:spacing w:line="240" w:lineRule="auto"/>
              <w:jc w:val="center"/>
            </w:pPr>
            <w:r>
              <w:t>/</w:t>
            </w:r>
          </w:p>
        </w:tc>
        <w:tc>
          <w:tcPr>
            <w:tcW w:w="1155" w:type="pct"/>
            <w:tcBorders>
              <w:top w:val="single" w:color="auto" w:sz="4" w:space="0"/>
              <w:left w:val="nil"/>
              <w:bottom w:val="single" w:color="auto" w:sz="4" w:space="0"/>
              <w:right w:val="single" w:color="auto" w:sz="4" w:space="0"/>
            </w:tcBorders>
            <w:vAlign w:val="center"/>
          </w:tcPr>
          <w:p w14:paraId="5DBECF39">
            <w:pPr>
              <w:spacing w:line="240" w:lineRule="auto"/>
              <w:jc w:val="center"/>
            </w:pPr>
            <w:r>
              <w:t>25</w:t>
            </w:r>
          </w:p>
        </w:tc>
        <w:tc>
          <w:tcPr>
            <w:tcW w:w="503" w:type="pct"/>
            <w:tcBorders>
              <w:top w:val="single" w:color="auto" w:sz="4" w:space="0"/>
              <w:left w:val="nil"/>
              <w:bottom w:val="single" w:color="auto" w:sz="4" w:space="0"/>
              <w:right w:val="single" w:color="auto" w:sz="4" w:space="0"/>
            </w:tcBorders>
            <w:vAlign w:val="center"/>
          </w:tcPr>
          <w:p w14:paraId="7C20B464">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0DB555BF">
            <w:pPr>
              <w:spacing w:line="240" w:lineRule="auto"/>
              <w:jc w:val="center"/>
            </w:pPr>
            <w:r>
              <w:t>4.6</w:t>
            </w:r>
          </w:p>
        </w:tc>
        <w:tc>
          <w:tcPr>
            <w:tcW w:w="505" w:type="pct"/>
            <w:tcBorders>
              <w:top w:val="single" w:color="auto" w:sz="4" w:space="0"/>
              <w:left w:val="nil"/>
              <w:bottom w:val="single" w:color="auto" w:sz="4" w:space="0"/>
              <w:right w:val="single" w:color="auto" w:sz="4" w:space="0"/>
            </w:tcBorders>
            <w:vAlign w:val="center"/>
          </w:tcPr>
          <w:p w14:paraId="00A725C8">
            <w:pPr>
              <w:spacing w:line="240" w:lineRule="auto"/>
              <w:jc w:val="center"/>
            </w:pPr>
            <w:r>
              <w:t>20.7</w:t>
            </w:r>
          </w:p>
        </w:tc>
        <w:tc>
          <w:tcPr>
            <w:tcW w:w="482" w:type="pct"/>
            <w:tcBorders>
              <w:top w:val="single" w:color="auto" w:sz="4" w:space="0"/>
              <w:left w:val="nil"/>
              <w:bottom w:val="single" w:color="auto" w:sz="4" w:space="0"/>
              <w:right w:val="single" w:color="auto" w:sz="4" w:space="0"/>
            </w:tcBorders>
            <w:vAlign w:val="center"/>
          </w:tcPr>
          <w:p w14:paraId="27610F46">
            <w:pPr>
              <w:spacing w:line="240" w:lineRule="auto"/>
              <w:jc w:val="center"/>
            </w:pPr>
            <w:r>
              <w:t>5.3</w:t>
            </w:r>
          </w:p>
        </w:tc>
        <w:tc>
          <w:tcPr>
            <w:tcW w:w="482" w:type="pct"/>
            <w:tcBorders>
              <w:top w:val="single" w:color="auto" w:sz="4" w:space="0"/>
              <w:left w:val="nil"/>
              <w:bottom w:val="single" w:color="auto" w:sz="4" w:space="0"/>
              <w:right w:val="single" w:color="auto" w:sz="4" w:space="0"/>
            </w:tcBorders>
            <w:vAlign w:val="center"/>
          </w:tcPr>
          <w:p w14:paraId="5193AAF3">
            <w:pPr>
              <w:spacing w:line="240" w:lineRule="auto"/>
              <w:jc w:val="center"/>
            </w:pPr>
            <w:r>
              <w:t>26.6</w:t>
            </w:r>
          </w:p>
        </w:tc>
      </w:tr>
      <w:tr w14:paraId="1E931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 w:type="pct"/>
            <w:tcBorders>
              <w:top w:val="single" w:color="auto" w:sz="4" w:space="0"/>
              <w:left w:val="single" w:color="auto" w:sz="4" w:space="0"/>
              <w:bottom w:val="single" w:color="auto" w:sz="4" w:space="0"/>
              <w:right w:val="single" w:color="auto" w:sz="4" w:space="0"/>
            </w:tcBorders>
            <w:vAlign w:val="center"/>
          </w:tcPr>
          <w:p w14:paraId="346EA3DD">
            <w:pPr>
              <w:spacing w:line="240" w:lineRule="auto"/>
              <w:jc w:val="center"/>
            </w:pPr>
            <w:r>
              <w:t>PFW4</w:t>
            </w:r>
          </w:p>
        </w:tc>
        <w:tc>
          <w:tcPr>
            <w:tcW w:w="441" w:type="pct"/>
            <w:tcBorders>
              <w:top w:val="single" w:color="auto" w:sz="4" w:space="0"/>
              <w:left w:val="nil"/>
              <w:bottom w:val="single" w:color="auto" w:sz="4" w:space="0"/>
              <w:right w:val="single" w:color="auto" w:sz="4" w:space="0"/>
            </w:tcBorders>
            <w:vAlign w:val="center"/>
          </w:tcPr>
          <w:p w14:paraId="1391307A">
            <w:pPr>
              <w:spacing w:line="240" w:lineRule="auto"/>
              <w:jc w:val="center"/>
            </w:pPr>
            <w:r>
              <w:t>65</w:t>
            </w:r>
          </w:p>
        </w:tc>
        <w:tc>
          <w:tcPr>
            <w:tcW w:w="427" w:type="pct"/>
            <w:tcBorders>
              <w:top w:val="single" w:color="auto" w:sz="4" w:space="0"/>
              <w:left w:val="nil"/>
              <w:bottom w:val="single" w:color="auto" w:sz="4" w:space="0"/>
              <w:right w:val="single" w:color="auto" w:sz="4" w:space="0"/>
            </w:tcBorders>
            <w:vAlign w:val="center"/>
          </w:tcPr>
          <w:p w14:paraId="43FD6DF8">
            <w:pPr>
              <w:spacing w:line="240" w:lineRule="auto"/>
              <w:jc w:val="center"/>
            </w:pPr>
            <w:r>
              <w:t>/</w:t>
            </w:r>
          </w:p>
        </w:tc>
        <w:tc>
          <w:tcPr>
            <w:tcW w:w="1155" w:type="pct"/>
            <w:tcBorders>
              <w:top w:val="single" w:color="auto" w:sz="4" w:space="0"/>
              <w:left w:val="nil"/>
              <w:bottom w:val="single" w:color="auto" w:sz="4" w:space="0"/>
              <w:right w:val="single" w:color="auto" w:sz="4" w:space="0"/>
            </w:tcBorders>
            <w:vAlign w:val="center"/>
          </w:tcPr>
          <w:p w14:paraId="6C709F07">
            <w:pPr>
              <w:spacing w:line="240" w:lineRule="auto"/>
              <w:jc w:val="center"/>
            </w:pPr>
            <w:r>
              <w:t>35</w:t>
            </w:r>
          </w:p>
        </w:tc>
        <w:tc>
          <w:tcPr>
            <w:tcW w:w="503" w:type="pct"/>
            <w:tcBorders>
              <w:top w:val="single" w:color="auto" w:sz="4" w:space="0"/>
              <w:left w:val="nil"/>
              <w:bottom w:val="single" w:color="auto" w:sz="4" w:space="0"/>
              <w:right w:val="single" w:color="auto" w:sz="4" w:space="0"/>
            </w:tcBorders>
            <w:vAlign w:val="center"/>
          </w:tcPr>
          <w:p w14:paraId="3791CAE0">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6F20CC9D">
            <w:pPr>
              <w:spacing w:line="240" w:lineRule="auto"/>
              <w:jc w:val="center"/>
            </w:pPr>
            <w:r>
              <w:t>3.8</w:t>
            </w:r>
          </w:p>
        </w:tc>
        <w:tc>
          <w:tcPr>
            <w:tcW w:w="505" w:type="pct"/>
            <w:tcBorders>
              <w:top w:val="single" w:color="auto" w:sz="4" w:space="0"/>
              <w:left w:val="nil"/>
              <w:bottom w:val="single" w:color="auto" w:sz="4" w:space="0"/>
              <w:right w:val="single" w:color="auto" w:sz="4" w:space="0"/>
            </w:tcBorders>
            <w:vAlign w:val="center"/>
          </w:tcPr>
          <w:p w14:paraId="585689B0">
            <w:pPr>
              <w:spacing w:line="240" w:lineRule="auto"/>
              <w:jc w:val="center"/>
            </w:pPr>
            <w:r>
              <w:t>16.9</w:t>
            </w:r>
          </w:p>
        </w:tc>
        <w:tc>
          <w:tcPr>
            <w:tcW w:w="482" w:type="pct"/>
            <w:tcBorders>
              <w:top w:val="single" w:color="auto" w:sz="4" w:space="0"/>
              <w:left w:val="nil"/>
              <w:bottom w:val="single" w:color="auto" w:sz="4" w:space="0"/>
              <w:right w:val="single" w:color="auto" w:sz="4" w:space="0"/>
            </w:tcBorders>
            <w:vAlign w:val="center"/>
          </w:tcPr>
          <w:p w14:paraId="0AECF916">
            <w:pPr>
              <w:spacing w:line="240" w:lineRule="auto"/>
              <w:jc w:val="center"/>
            </w:pPr>
            <w:r>
              <w:t>4.6</w:t>
            </w:r>
          </w:p>
        </w:tc>
        <w:tc>
          <w:tcPr>
            <w:tcW w:w="482" w:type="pct"/>
            <w:tcBorders>
              <w:top w:val="single" w:color="auto" w:sz="4" w:space="0"/>
              <w:left w:val="nil"/>
              <w:bottom w:val="single" w:color="auto" w:sz="4" w:space="0"/>
              <w:right w:val="single" w:color="auto" w:sz="4" w:space="0"/>
            </w:tcBorders>
            <w:vAlign w:val="center"/>
          </w:tcPr>
          <w:p w14:paraId="401C73CB">
            <w:pPr>
              <w:spacing w:line="240" w:lineRule="auto"/>
              <w:jc w:val="center"/>
            </w:pPr>
            <w:r>
              <w:t>22.0</w:t>
            </w:r>
          </w:p>
        </w:tc>
      </w:tr>
      <w:tr w14:paraId="209DD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 w:type="pct"/>
            <w:tcBorders>
              <w:top w:val="single" w:color="auto" w:sz="4" w:space="0"/>
              <w:left w:val="single" w:color="auto" w:sz="4" w:space="0"/>
              <w:bottom w:val="single" w:color="auto" w:sz="4" w:space="0"/>
              <w:right w:val="single" w:color="auto" w:sz="4" w:space="0"/>
            </w:tcBorders>
            <w:vAlign w:val="center"/>
          </w:tcPr>
          <w:p w14:paraId="0B36DE15">
            <w:pPr>
              <w:spacing w:line="240" w:lineRule="auto"/>
              <w:jc w:val="center"/>
            </w:pPr>
            <w:r>
              <w:t>PFⅠ1</w:t>
            </w:r>
          </w:p>
        </w:tc>
        <w:tc>
          <w:tcPr>
            <w:tcW w:w="441" w:type="pct"/>
            <w:tcBorders>
              <w:top w:val="single" w:color="auto" w:sz="4" w:space="0"/>
              <w:left w:val="nil"/>
              <w:bottom w:val="single" w:color="auto" w:sz="4" w:space="0"/>
              <w:right w:val="single" w:color="auto" w:sz="4" w:space="0"/>
            </w:tcBorders>
            <w:vAlign w:val="center"/>
          </w:tcPr>
          <w:p w14:paraId="52F2701E">
            <w:pPr>
              <w:spacing w:line="240" w:lineRule="auto"/>
              <w:jc w:val="center"/>
            </w:pPr>
            <w:r>
              <w:t>95</w:t>
            </w:r>
          </w:p>
        </w:tc>
        <w:tc>
          <w:tcPr>
            <w:tcW w:w="427" w:type="pct"/>
            <w:tcBorders>
              <w:top w:val="single" w:color="auto" w:sz="4" w:space="0"/>
              <w:left w:val="nil"/>
              <w:bottom w:val="single" w:color="auto" w:sz="4" w:space="0"/>
              <w:right w:val="single" w:color="auto" w:sz="4" w:space="0"/>
            </w:tcBorders>
            <w:vAlign w:val="center"/>
          </w:tcPr>
          <w:p w14:paraId="39C41A59">
            <w:pPr>
              <w:spacing w:line="240" w:lineRule="auto"/>
              <w:jc w:val="center"/>
            </w:pPr>
            <w:r>
              <w:t>/</w:t>
            </w:r>
          </w:p>
        </w:tc>
        <w:tc>
          <w:tcPr>
            <w:tcW w:w="1155" w:type="pct"/>
            <w:tcBorders>
              <w:top w:val="single" w:color="auto" w:sz="4" w:space="0"/>
              <w:left w:val="nil"/>
              <w:bottom w:val="single" w:color="auto" w:sz="4" w:space="0"/>
              <w:right w:val="single" w:color="auto" w:sz="4" w:space="0"/>
            </w:tcBorders>
            <w:vAlign w:val="center"/>
          </w:tcPr>
          <w:p w14:paraId="33338DF1">
            <w:pPr>
              <w:spacing w:line="240" w:lineRule="auto"/>
              <w:jc w:val="center"/>
            </w:pPr>
            <w:r>
              <w:t>/</w:t>
            </w:r>
          </w:p>
        </w:tc>
        <w:tc>
          <w:tcPr>
            <w:tcW w:w="503" w:type="pct"/>
            <w:tcBorders>
              <w:top w:val="single" w:color="auto" w:sz="4" w:space="0"/>
              <w:left w:val="nil"/>
              <w:bottom w:val="single" w:color="auto" w:sz="4" w:space="0"/>
              <w:right w:val="single" w:color="auto" w:sz="4" w:space="0"/>
            </w:tcBorders>
            <w:vAlign w:val="center"/>
          </w:tcPr>
          <w:p w14:paraId="5BD92693">
            <w:pPr>
              <w:spacing w:line="240" w:lineRule="auto"/>
              <w:jc w:val="center"/>
            </w:pPr>
            <w:r>
              <w:t>5</w:t>
            </w:r>
          </w:p>
        </w:tc>
        <w:tc>
          <w:tcPr>
            <w:tcW w:w="504" w:type="pct"/>
            <w:tcBorders>
              <w:top w:val="single" w:color="auto" w:sz="4" w:space="0"/>
              <w:left w:val="nil"/>
              <w:bottom w:val="single" w:color="auto" w:sz="4" w:space="0"/>
              <w:right w:val="single" w:color="auto" w:sz="4" w:space="0"/>
            </w:tcBorders>
            <w:vAlign w:val="center"/>
          </w:tcPr>
          <w:p w14:paraId="34A9AEF1">
            <w:pPr>
              <w:spacing w:line="240" w:lineRule="auto"/>
              <w:jc w:val="center"/>
            </w:pPr>
            <w:r>
              <w:t>5.5</w:t>
            </w:r>
          </w:p>
        </w:tc>
        <w:tc>
          <w:tcPr>
            <w:tcW w:w="505" w:type="pct"/>
            <w:tcBorders>
              <w:top w:val="single" w:color="auto" w:sz="4" w:space="0"/>
              <w:left w:val="nil"/>
              <w:bottom w:val="single" w:color="auto" w:sz="4" w:space="0"/>
              <w:right w:val="single" w:color="auto" w:sz="4" w:space="0"/>
            </w:tcBorders>
            <w:vAlign w:val="center"/>
          </w:tcPr>
          <w:p w14:paraId="6CA92FB6">
            <w:pPr>
              <w:spacing w:line="240" w:lineRule="auto"/>
              <w:jc w:val="center"/>
            </w:pPr>
            <w:r>
              <w:t>26.1</w:t>
            </w:r>
          </w:p>
        </w:tc>
        <w:tc>
          <w:tcPr>
            <w:tcW w:w="482" w:type="pct"/>
            <w:tcBorders>
              <w:top w:val="single" w:color="auto" w:sz="4" w:space="0"/>
              <w:left w:val="nil"/>
              <w:bottom w:val="single" w:color="auto" w:sz="4" w:space="0"/>
              <w:right w:val="single" w:color="auto" w:sz="4" w:space="0"/>
            </w:tcBorders>
            <w:vAlign w:val="center"/>
          </w:tcPr>
          <w:p w14:paraId="319842FE">
            <w:pPr>
              <w:spacing w:line="240" w:lineRule="auto"/>
              <w:jc w:val="center"/>
            </w:pPr>
            <w:r>
              <w:t>6.3</w:t>
            </w:r>
          </w:p>
        </w:tc>
        <w:tc>
          <w:tcPr>
            <w:tcW w:w="482" w:type="pct"/>
            <w:tcBorders>
              <w:top w:val="single" w:color="auto" w:sz="4" w:space="0"/>
              <w:left w:val="nil"/>
              <w:bottom w:val="single" w:color="auto" w:sz="4" w:space="0"/>
              <w:right w:val="single" w:color="auto" w:sz="4" w:space="0"/>
            </w:tcBorders>
            <w:vAlign w:val="center"/>
          </w:tcPr>
          <w:p w14:paraId="394ED713">
            <w:pPr>
              <w:spacing w:line="240" w:lineRule="auto"/>
              <w:jc w:val="center"/>
            </w:pPr>
            <w:r>
              <w:t>34.1</w:t>
            </w:r>
          </w:p>
        </w:tc>
      </w:tr>
      <w:tr w14:paraId="401F5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 w:type="pct"/>
            <w:tcBorders>
              <w:top w:val="single" w:color="auto" w:sz="4" w:space="0"/>
              <w:left w:val="single" w:color="auto" w:sz="4" w:space="0"/>
              <w:bottom w:val="single" w:color="auto" w:sz="4" w:space="0"/>
              <w:right w:val="single" w:color="auto" w:sz="4" w:space="0"/>
            </w:tcBorders>
            <w:vAlign w:val="center"/>
          </w:tcPr>
          <w:p w14:paraId="61F617AB">
            <w:pPr>
              <w:spacing w:line="240" w:lineRule="auto"/>
              <w:jc w:val="center"/>
            </w:pPr>
            <w:r>
              <w:t>PFⅠ2</w:t>
            </w:r>
          </w:p>
        </w:tc>
        <w:tc>
          <w:tcPr>
            <w:tcW w:w="441" w:type="pct"/>
            <w:tcBorders>
              <w:top w:val="single" w:color="auto" w:sz="4" w:space="0"/>
              <w:left w:val="nil"/>
              <w:bottom w:val="single" w:color="auto" w:sz="4" w:space="0"/>
              <w:right w:val="single" w:color="auto" w:sz="4" w:space="0"/>
            </w:tcBorders>
            <w:vAlign w:val="center"/>
          </w:tcPr>
          <w:p w14:paraId="38F6D4E3">
            <w:pPr>
              <w:spacing w:line="240" w:lineRule="auto"/>
              <w:jc w:val="center"/>
            </w:pPr>
            <w:r>
              <w:t>85</w:t>
            </w:r>
          </w:p>
        </w:tc>
        <w:tc>
          <w:tcPr>
            <w:tcW w:w="427" w:type="pct"/>
            <w:tcBorders>
              <w:top w:val="single" w:color="auto" w:sz="4" w:space="0"/>
              <w:left w:val="nil"/>
              <w:bottom w:val="single" w:color="auto" w:sz="4" w:space="0"/>
              <w:right w:val="single" w:color="auto" w:sz="4" w:space="0"/>
            </w:tcBorders>
            <w:vAlign w:val="center"/>
          </w:tcPr>
          <w:p w14:paraId="7051D32A">
            <w:pPr>
              <w:spacing w:line="240" w:lineRule="auto"/>
              <w:jc w:val="center"/>
            </w:pPr>
            <w:r>
              <w:t>/</w:t>
            </w:r>
          </w:p>
        </w:tc>
        <w:tc>
          <w:tcPr>
            <w:tcW w:w="1155" w:type="pct"/>
            <w:tcBorders>
              <w:top w:val="single" w:color="auto" w:sz="4" w:space="0"/>
              <w:left w:val="nil"/>
              <w:bottom w:val="single" w:color="auto" w:sz="4" w:space="0"/>
              <w:right w:val="single" w:color="auto" w:sz="4" w:space="0"/>
            </w:tcBorders>
            <w:vAlign w:val="center"/>
          </w:tcPr>
          <w:p w14:paraId="0E1EF623">
            <w:pPr>
              <w:spacing w:line="240" w:lineRule="auto"/>
              <w:jc w:val="center"/>
            </w:pPr>
            <w:r>
              <w:t>/</w:t>
            </w:r>
          </w:p>
        </w:tc>
        <w:tc>
          <w:tcPr>
            <w:tcW w:w="503" w:type="pct"/>
            <w:tcBorders>
              <w:top w:val="single" w:color="auto" w:sz="4" w:space="0"/>
              <w:left w:val="nil"/>
              <w:bottom w:val="single" w:color="auto" w:sz="4" w:space="0"/>
              <w:right w:val="single" w:color="auto" w:sz="4" w:space="0"/>
            </w:tcBorders>
            <w:vAlign w:val="center"/>
          </w:tcPr>
          <w:p w14:paraId="54D54433">
            <w:pPr>
              <w:spacing w:line="240" w:lineRule="auto"/>
              <w:jc w:val="center"/>
            </w:pPr>
            <w:r>
              <w:t>15</w:t>
            </w:r>
          </w:p>
        </w:tc>
        <w:tc>
          <w:tcPr>
            <w:tcW w:w="504" w:type="pct"/>
            <w:tcBorders>
              <w:top w:val="single" w:color="auto" w:sz="4" w:space="0"/>
              <w:left w:val="nil"/>
              <w:bottom w:val="single" w:color="auto" w:sz="4" w:space="0"/>
              <w:right w:val="single" w:color="auto" w:sz="4" w:space="0"/>
            </w:tcBorders>
            <w:vAlign w:val="center"/>
          </w:tcPr>
          <w:p w14:paraId="14A64E2B">
            <w:pPr>
              <w:spacing w:line="240" w:lineRule="auto"/>
              <w:jc w:val="center"/>
            </w:pPr>
            <w:r>
              <w:t>4.5</w:t>
            </w:r>
          </w:p>
        </w:tc>
        <w:tc>
          <w:tcPr>
            <w:tcW w:w="505" w:type="pct"/>
            <w:tcBorders>
              <w:top w:val="single" w:color="auto" w:sz="4" w:space="0"/>
              <w:left w:val="nil"/>
              <w:bottom w:val="single" w:color="auto" w:sz="4" w:space="0"/>
              <w:right w:val="single" w:color="auto" w:sz="4" w:space="0"/>
            </w:tcBorders>
            <w:vAlign w:val="center"/>
          </w:tcPr>
          <w:p w14:paraId="4B1181D7">
            <w:pPr>
              <w:spacing w:line="240" w:lineRule="auto"/>
              <w:jc w:val="center"/>
            </w:pPr>
            <w:r>
              <w:t>23.1</w:t>
            </w:r>
          </w:p>
        </w:tc>
        <w:tc>
          <w:tcPr>
            <w:tcW w:w="482" w:type="pct"/>
            <w:tcBorders>
              <w:top w:val="single" w:color="auto" w:sz="4" w:space="0"/>
              <w:left w:val="nil"/>
              <w:bottom w:val="single" w:color="auto" w:sz="4" w:space="0"/>
              <w:right w:val="single" w:color="auto" w:sz="4" w:space="0"/>
            </w:tcBorders>
            <w:vAlign w:val="center"/>
          </w:tcPr>
          <w:p w14:paraId="79AEF41D">
            <w:pPr>
              <w:spacing w:line="240" w:lineRule="auto"/>
              <w:jc w:val="center"/>
            </w:pPr>
            <w:r>
              <w:t>5.8</w:t>
            </w:r>
          </w:p>
        </w:tc>
        <w:tc>
          <w:tcPr>
            <w:tcW w:w="482" w:type="pct"/>
            <w:tcBorders>
              <w:top w:val="single" w:color="auto" w:sz="4" w:space="0"/>
              <w:left w:val="nil"/>
              <w:bottom w:val="single" w:color="auto" w:sz="4" w:space="0"/>
              <w:right w:val="single" w:color="auto" w:sz="4" w:space="0"/>
            </w:tcBorders>
            <w:vAlign w:val="center"/>
          </w:tcPr>
          <w:p w14:paraId="47D7E2AA">
            <w:pPr>
              <w:spacing w:line="240" w:lineRule="auto"/>
              <w:jc w:val="center"/>
            </w:pPr>
            <w:r>
              <w:t>30.3</w:t>
            </w:r>
          </w:p>
        </w:tc>
      </w:tr>
      <w:tr w14:paraId="5D146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 w:type="pct"/>
            <w:tcBorders>
              <w:top w:val="single" w:color="auto" w:sz="4" w:space="0"/>
              <w:left w:val="single" w:color="auto" w:sz="4" w:space="0"/>
              <w:bottom w:val="single" w:color="auto" w:sz="4" w:space="0"/>
              <w:right w:val="single" w:color="auto" w:sz="4" w:space="0"/>
            </w:tcBorders>
            <w:vAlign w:val="center"/>
          </w:tcPr>
          <w:p w14:paraId="0E4F7431">
            <w:pPr>
              <w:spacing w:line="240" w:lineRule="auto"/>
              <w:jc w:val="center"/>
            </w:pPr>
            <w:r>
              <w:t>PFⅠ3</w:t>
            </w:r>
          </w:p>
        </w:tc>
        <w:tc>
          <w:tcPr>
            <w:tcW w:w="441" w:type="pct"/>
            <w:tcBorders>
              <w:top w:val="single" w:color="auto" w:sz="4" w:space="0"/>
              <w:left w:val="nil"/>
              <w:bottom w:val="single" w:color="auto" w:sz="4" w:space="0"/>
              <w:right w:val="single" w:color="auto" w:sz="4" w:space="0"/>
            </w:tcBorders>
            <w:vAlign w:val="center"/>
          </w:tcPr>
          <w:p w14:paraId="1929369F">
            <w:pPr>
              <w:spacing w:line="240" w:lineRule="auto"/>
              <w:jc w:val="center"/>
            </w:pPr>
            <w:r>
              <w:t>75</w:t>
            </w:r>
          </w:p>
        </w:tc>
        <w:tc>
          <w:tcPr>
            <w:tcW w:w="427" w:type="pct"/>
            <w:tcBorders>
              <w:top w:val="single" w:color="auto" w:sz="4" w:space="0"/>
              <w:left w:val="nil"/>
              <w:bottom w:val="single" w:color="auto" w:sz="4" w:space="0"/>
              <w:right w:val="single" w:color="auto" w:sz="4" w:space="0"/>
            </w:tcBorders>
            <w:vAlign w:val="center"/>
          </w:tcPr>
          <w:p w14:paraId="5D213BCA">
            <w:pPr>
              <w:spacing w:line="240" w:lineRule="auto"/>
              <w:jc w:val="center"/>
            </w:pPr>
            <w:r>
              <w:t>/</w:t>
            </w:r>
          </w:p>
        </w:tc>
        <w:tc>
          <w:tcPr>
            <w:tcW w:w="1155" w:type="pct"/>
            <w:tcBorders>
              <w:top w:val="single" w:color="auto" w:sz="4" w:space="0"/>
              <w:left w:val="nil"/>
              <w:bottom w:val="single" w:color="auto" w:sz="4" w:space="0"/>
              <w:right w:val="single" w:color="auto" w:sz="4" w:space="0"/>
            </w:tcBorders>
            <w:vAlign w:val="center"/>
          </w:tcPr>
          <w:p w14:paraId="5EFF9FE7">
            <w:pPr>
              <w:spacing w:line="240" w:lineRule="auto"/>
              <w:jc w:val="center"/>
            </w:pPr>
            <w:r>
              <w:t>/</w:t>
            </w:r>
          </w:p>
        </w:tc>
        <w:tc>
          <w:tcPr>
            <w:tcW w:w="503" w:type="pct"/>
            <w:tcBorders>
              <w:top w:val="single" w:color="auto" w:sz="4" w:space="0"/>
              <w:left w:val="nil"/>
              <w:bottom w:val="single" w:color="auto" w:sz="4" w:space="0"/>
              <w:right w:val="single" w:color="auto" w:sz="4" w:space="0"/>
            </w:tcBorders>
            <w:vAlign w:val="center"/>
          </w:tcPr>
          <w:p w14:paraId="0FA653DC">
            <w:pPr>
              <w:spacing w:line="240" w:lineRule="auto"/>
              <w:jc w:val="center"/>
            </w:pPr>
            <w:r>
              <w:t>25</w:t>
            </w:r>
          </w:p>
        </w:tc>
        <w:tc>
          <w:tcPr>
            <w:tcW w:w="504" w:type="pct"/>
            <w:tcBorders>
              <w:top w:val="single" w:color="auto" w:sz="4" w:space="0"/>
              <w:left w:val="nil"/>
              <w:bottom w:val="single" w:color="auto" w:sz="4" w:space="0"/>
              <w:right w:val="single" w:color="auto" w:sz="4" w:space="0"/>
            </w:tcBorders>
            <w:vAlign w:val="center"/>
          </w:tcPr>
          <w:p w14:paraId="7AEBEAD2">
            <w:pPr>
              <w:spacing w:line="240" w:lineRule="auto"/>
              <w:jc w:val="center"/>
            </w:pPr>
            <w:r>
              <w:t>4.3</w:t>
            </w:r>
          </w:p>
        </w:tc>
        <w:tc>
          <w:tcPr>
            <w:tcW w:w="505" w:type="pct"/>
            <w:tcBorders>
              <w:top w:val="single" w:color="auto" w:sz="4" w:space="0"/>
              <w:left w:val="nil"/>
              <w:bottom w:val="single" w:color="auto" w:sz="4" w:space="0"/>
              <w:right w:val="single" w:color="auto" w:sz="4" w:space="0"/>
            </w:tcBorders>
            <w:vAlign w:val="center"/>
          </w:tcPr>
          <w:p w14:paraId="479C7A91">
            <w:pPr>
              <w:spacing w:line="240" w:lineRule="auto"/>
              <w:jc w:val="center"/>
            </w:pPr>
            <w:r>
              <w:t>19.7</w:t>
            </w:r>
          </w:p>
        </w:tc>
        <w:tc>
          <w:tcPr>
            <w:tcW w:w="482" w:type="pct"/>
            <w:tcBorders>
              <w:top w:val="single" w:color="auto" w:sz="4" w:space="0"/>
              <w:left w:val="nil"/>
              <w:bottom w:val="single" w:color="auto" w:sz="4" w:space="0"/>
              <w:right w:val="single" w:color="auto" w:sz="4" w:space="0"/>
            </w:tcBorders>
            <w:vAlign w:val="center"/>
          </w:tcPr>
          <w:p w14:paraId="5916E551">
            <w:pPr>
              <w:spacing w:line="240" w:lineRule="auto"/>
              <w:jc w:val="center"/>
            </w:pPr>
            <w:r>
              <w:t>5.2</w:t>
            </w:r>
          </w:p>
        </w:tc>
        <w:tc>
          <w:tcPr>
            <w:tcW w:w="482" w:type="pct"/>
            <w:tcBorders>
              <w:top w:val="single" w:color="auto" w:sz="4" w:space="0"/>
              <w:left w:val="nil"/>
              <w:bottom w:val="single" w:color="auto" w:sz="4" w:space="0"/>
              <w:right w:val="single" w:color="auto" w:sz="4" w:space="0"/>
            </w:tcBorders>
            <w:vAlign w:val="center"/>
          </w:tcPr>
          <w:p w14:paraId="5E6829B1">
            <w:pPr>
              <w:spacing w:line="240" w:lineRule="auto"/>
              <w:jc w:val="center"/>
            </w:pPr>
            <w:r>
              <w:t>25.8</w:t>
            </w:r>
          </w:p>
        </w:tc>
      </w:tr>
      <w:tr w14:paraId="4AA05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 w:type="pct"/>
            <w:tcBorders>
              <w:top w:val="single" w:color="auto" w:sz="4" w:space="0"/>
              <w:left w:val="single" w:color="auto" w:sz="4" w:space="0"/>
              <w:bottom w:val="single" w:color="auto" w:sz="4" w:space="0"/>
              <w:right w:val="single" w:color="auto" w:sz="4" w:space="0"/>
            </w:tcBorders>
            <w:vAlign w:val="center"/>
          </w:tcPr>
          <w:p w14:paraId="71BDD8EE">
            <w:pPr>
              <w:spacing w:line="240" w:lineRule="auto"/>
              <w:jc w:val="center"/>
            </w:pPr>
            <w:r>
              <w:t>PFⅠ4</w:t>
            </w:r>
          </w:p>
        </w:tc>
        <w:tc>
          <w:tcPr>
            <w:tcW w:w="441" w:type="pct"/>
            <w:tcBorders>
              <w:top w:val="single" w:color="auto" w:sz="4" w:space="0"/>
              <w:left w:val="nil"/>
              <w:bottom w:val="single" w:color="auto" w:sz="4" w:space="0"/>
              <w:right w:val="single" w:color="auto" w:sz="4" w:space="0"/>
            </w:tcBorders>
            <w:vAlign w:val="center"/>
          </w:tcPr>
          <w:p w14:paraId="1B382690">
            <w:pPr>
              <w:spacing w:line="240" w:lineRule="auto"/>
              <w:jc w:val="center"/>
            </w:pPr>
            <w:r>
              <w:t>65</w:t>
            </w:r>
          </w:p>
        </w:tc>
        <w:tc>
          <w:tcPr>
            <w:tcW w:w="427" w:type="pct"/>
            <w:tcBorders>
              <w:top w:val="single" w:color="auto" w:sz="4" w:space="0"/>
              <w:left w:val="nil"/>
              <w:bottom w:val="single" w:color="auto" w:sz="4" w:space="0"/>
              <w:right w:val="single" w:color="auto" w:sz="4" w:space="0"/>
            </w:tcBorders>
            <w:vAlign w:val="center"/>
          </w:tcPr>
          <w:p w14:paraId="542C1EC7">
            <w:pPr>
              <w:spacing w:line="240" w:lineRule="auto"/>
              <w:jc w:val="center"/>
            </w:pPr>
            <w:r>
              <w:t>/</w:t>
            </w:r>
          </w:p>
        </w:tc>
        <w:tc>
          <w:tcPr>
            <w:tcW w:w="1155" w:type="pct"/>
            <w:tcBorders>
              <w:top w:val="single" w:color="auto" w:sz="4" w:space="0"/>
              <w:left w:val="nil"/>
              <w:bottom w:val="single" w:color="auto" w:sz="4" w:space="0"/>
              <w:right w:val="single" w:color="auto" w:sz="4" w:space="0"/>
            </w:tcBorders>
            <w:vAlign w:val="center"/>
          </w:tcPr>
          <w:p w14:paraId="3BA5A889">
            <w:pPr>
              <w:spacing w:line="240" w:lineRule="auto"/>
              <w:jc w:val="center"/>
            </w:pPr>
            <w:r>
              <w:t>/</w:t>
            </w:r>
          </w:p>
        </w:tc>
        <w:tc>
          <w:tcPr>
            <w:tcW w:w="503" w:type="pct"/>
            <w:tcBorders>
              <w:top w:val="single" w:color="auto" w:sz="4" w:space="0"/>
              <w:left w:val="nil"/>
              <w:bottom w:val="single" w:color="auto" w:sz="4" w:space="0"/>
              <w:right w:val="single" w:color="auto" w:sz="4" w:space="0"/>
            </w:tcBorders>
            <w:vAlign w:val="center"/>
          </w:tcPr>
          <w:p w14:paraId="5D3F6D5A">
            <w:pPr>
              <w:spacing w:line="240" w:lineRule="auto"/>
              <w:jc w:val="center"/>
            </w:pPr>
            <w:r>
              <w:t>35</w:t>
            </w:r>
          </w:p>
        </w:tc>
        <w:tc>
          <w:tcPr>
            <w:tcW w:w="504" w:type="pct"/>
            <w:tcBorders>
              <w:top w:val="single" w:color="auto" w:sz="4" w:space="0"/>
              <w:left w:val="nil"/>
              <w:bottom w:val="single" w:color="auto" w:sz="4" w:space="0"/>
              <w:right w:val="single" w:color="auto" w:sz="4" w:space="0"/>
            </w:tcBorders>
            <w:vAlign w:val="center"/>
          </w:tcPr>
          <w:p w14:paraId="655310E0">
            <w:pPr>
              <w:spacing w:line="240" w:lineRule="auto"/>
              <w:jc w:val="center"/>
            </w:pPr>
            <w:r>
              <w:t>3.6</w:t>
            </w:r>
          </w:p>
        </w:tc>
        <w:tc>
          <w:tcPr>
            <w:tcW w:w="505" w:type="pct"/>
            <w:tcBorders>
              <w:top w:val="single" w:color="auto" w:sz="4" w:space="0"/>
              <w:left w:val="nil"/>
              <w:bottom w:val="single" w:color="auto" w:sz="4" w:space="0"/>
              <w:right w:val="single" w:color="auto" w:sz="4" w:space="0"/>
            </w:tcBorders>
            <w:vAlign w:val="center"/>
          </w:tcPr>
          <w:p w14:paraId="3EBB52E4">
            <w:pPr>
              <w:spacing w:line="240" w:lineRule="auto"/>
              <w:jc w:val="center"/>
            </w:pPr>
            <w:r>
              <w:t>16.1</w:t>
            </w:r>
          </w:p>
        </w:tc>
        <w:tc>
          <w:tcPr>
            <w:tcW w:w="482" w:type="pct"/>
            <w:tcBorders>
              <w:top w:val="single" w:color="auto" w:sz="4" w:space="0"/>
              <w:left w:val="nil"/>
              <w:bottom w:val="single" w:color="auto" w:sz="4" w:space="0"/>
              <w:right w:val="single" w:color="auto" w:sz="4" w:space="0"/>
            </w:tcBorders>
            <w:vAlign w:val="center"/>
          </w:tcPr>
          <w:p w14:paraId="3367D5C9">
            <w:pPr>
              <w:spacing w:line="240" w:lineRule="auto"/>
              <w:jc w:val="center"/>
            </w:pPr>
            <w:r>
              <w:t>4.4</w:t>
            </w:r>
          </w:p>
        </w:tc>
        <w:tc>
          <w:tcPr>
            <w:tcW w:w="482" w:type="pct"/>
            <w:tcBorders>
              <w:top w:val="single" w:color="auto" w:sz="4" w:space="0"/>
              <w:left w:val="nil"/>
              <w:bottom w:val="single" w:color="auto" w:sz="4" w:space="0"/>
              <w:right w:val="single" w:color="auto" w:sz="4" w:space="0"/>
            </w:tcBorders>
            <w:vAlign w:val="center"/>
          </w:tcPr>
          <w:p w14:paraId="31815B82">
            <w:pPr>
              <w:spacing w:line="240" w:lineRule="auto"/>
              <w:jc w:val="center"/>
            </w:pPr>
            <w:r>
              <w:t>21.2</w:t>
            </w:r>
          </w:p>
        </w:tc>
      </w:tr>
    </w:tbl>
    <w:p w14:paraId="04ECA035">
      <w:pPr>
        <w:jc w:val="center"/>
        <w:rPr>
          <w:b/>
          <w:bCs/>
        </w:rPr>
      </w:pPr>
      <w:r>
        <w:drawing>
          <wp:inline distT="0" distB="0" distL="0" distR="0">
            <wp:extent cx="3445510" cy="2120265"/>
            <wp:effectExtent l="0" t="0" r="2540" b="0"/>
            <wp:docPr id="176025430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254303" name="图片 3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455433" cy="2126420"/>
                    </a:xfrm>
                    <a:prstGeom prst="rect">
                      <a:avLst/>
                    </a:prstGeom>
                    <a:noFill/>
                    <a:ln>
                      <a:noFill/>
                    </a:ln>
                  </pic:spPr>
                </pic:pic>
              </a:graphicData>
            </a:graphic>
          </wp:inline>
        </w:drawing>
      </w:r>
    </w:p>
    <w:p w14:paraId="04CAC15D">
      <w:pPr>
        <w:ind w:firstLine="480" w:firstLineChars="200"/>
        <w:jc w:val="center"/>
      </w:pPr>
      <w:r>
        <w:rPr>
          <w:rFonts w:hint="eastAsia"/>
          <w:color w:val="000000"/>
        </w:rPr>
        <w:t>图</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6</w:t>
      </w:r>
      <w:r>
        <w:rPr>
          <w:color w:val="000000"/>
        </w:rPr>
        <w:fldChar w:fldCharType="end"/>
      </w:r>
      <w:r>
        <w:rPr>
          <w:rFonts w:hint="eastAsia"/>
          <w:color w:val="000000"/>
        </w:rPr>
        <w:t xml:space="preserve"> </w:t>
      </w:r>
      <w:r>
        <w:t>粉煤灰对水泥3天强度影响</w:t>
      </w:r>
    </w:p>
    <w:p w14:paraId="7168B16C">
      <w:pPr>
        <w:ind w:firstLine="480" w:firstLineChars="200"/>
      </w:pPr>
      <w:r>
        <w:t>以上数据可以看出，三种粉煤灰随着掺量的增加，其3天水泥抗压强度随之下降，水灰比0.45所对应的强度略高于水灰比0.50；经过研磨后的物理改性粉煤灰在相同掺量下，强度大致均高于原灰和Ⅰ级粉煤灰。当物理改性粉煤灰掺量25%时，其水灰比0.50、0.45对应的水泥抗压活性指数为71%、72%，达到一级灰标准。</w:t>
      </w:r>
    </w:p>
    <w:p w14:paraId="586B759E">
      <w:pPr>
        <w:ind w:firstLine="480" w:firstLineChars="200"/>
      </w:pPr>
      <w:r>
        <w:t>不同掺量和不同水灰比的原灰、物理改性粉煤灰、Ⅰ级粉煤灰的28天强度数据见</w:t>
      </w:r>
      <w:r>
        <w:fldChar w:fldCharType="begin"/>
      </w:r>
      <w:r>
        <w:instrText xml:space="preserve"> REF _Ref230720553 \h  \* MERGEFORMAT </w:instrText>
      </w:r>
      <w:r>
        <w:fldChar w:fldCharType="separate"/>
      </w:r>
      <w:r>
        <w:rPr>
          <w:rFonts w:hint="eastAsia"/>
        </w:rPr>
        <w:t>表</w:t>
      </w:r>
      <w:r>
        <w:t>12</w:t>
      </w:r>
      <w:r>
        <w:fldChar w:fldCharType="end"/>
      </w:r>
      <w:r>
        <w:t>。</w:t>
      </w:r>
    </w:p>
    <w:p w14:paraId="2D8C1221">
      <w:pPr>
        <w:autoSpaceDE w:val="0"/>
        <w:ind w:firstLine="480" w:firstLineChars="200"/>
        <w:jc w:val="center"/>
      </w:pPr>
      <w:bookmarkStart w:id="18" w:name="_Ref230720553"/>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12</w:t>
      </w:r>
      <w:r>
        <w:fldChar w:fldCharType="end"/>
      </w:r>
      <w:bookmarkEnd w:id="18"/>
      <w:r>
        <w:rPr>
          <w:rFonts w:hint="eastAsia"/>
        </w:rPr>
        <w:t xml:space="preserve"> </w:t>
      </w:r>
      <w:r>
        <w:t>粉煤灰对水泥28天强度影响</w:t>
      </w:r>
    </w:p>
    <w:tbl>
      <w:tblPr>
        <w:tblStyle w:val="19"/>
        <w:tblW w:w="5084"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3"/>
        <w:gridCol w:w="730"/>
        <w:gridCol w:w="728"/>
        <w:gridCol w:w="2041"/>
        <w:gridCol w:w="873"/>
        <w:gridCol w:w="873"/>
        <w:gridCol w:w="875"/>
        <w:gridCol w:w="877"/>
        <w:gridCol w:w="795"/>
      </w:tblGrid>
      <w:tr w14:paraId="37834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504" w:type="pct"/>
            <w:vMerge w:val="restart"/>
            <w:tcBorders>
              <w:top w:val="single" w:color="auto" w:sz="4" w:space="0"/>
              <w:left w:val="single" w:color="auto" w:sz="4" w:space="0"/>
              <w:bottom w:val="single" w:color="auto" w:sz="4" w:space="0"/>
              <w:right w:val="single" w:color="auto" w:sz="4" w:space="0"/>
            </w:tcBorders>
            <w:vAlign w:val="center"/>
          </w:tcPr>
          <w:p w14:paraId="71A04CC2">
            <w:pPr>
              <w:spacing w:line="240" w:lineRule="auto"/>
              <w:jc w:val="center"/>
            </w:pPr>
            <w:r>
              <w:t>编号</w:t>
            </w:r>
          </w:p>
        </w:tc>
        <w:tc>
          <w:tcPr>
            <w:tcW w:w="2523" w:type="pct"/>
            <w:gridSpan w:val="4"/>
            <w:tcBorders>
              <w:top w:val="single" w:color="auto" w:sz="4" w:space="0"/>
              <w:left w:val="nil"/>
              <w:bottom w:val="single" w:color="auto" w:sz="4" w:space="0"/>
              <w:right w:val="single" w:color="auto" w:sz="4" w:space="0"/>
            </w:tcBorders>
            <w:vAlign w:val="center"/>
          </w:tcPr>
          <w:p w14:paraId="2DADA756">
            <w:pPr>
              <w:spacing w:line="240" w:lineRule="auto"/>
              <w:jc w:val="center"/>
            </w:pPr>
            <w:r>
              <w:t>配比（%）</w:t>
            </w:r>
          </w:p>
        </w:tc>
        <w:tc>
          <w:tcPr>
            <w:tcW w:w="1009" w:type="pct"/>
            <w:gridSpan w:val="2"/>
            <w:tcBorders>
              <w:top w:val="single" w:color="auto" w:sz="4" w:space="0"/>
              <w:left w:val="nil"/>
              <w:bottom w:val="single" w:color="auto" w:sz="4" w:space="0"/>
              <w:right w:val="single" w:color="auto" w:sz="4" w:space="0"/>
            </w:tcBorders>
            <w:vAlign w:val="center"/>
          </w:tcPr>
          <w:p w14:paraId="79F967A1">
            <w:pPr>
              <w:spacing w:line="240" w:lineRule="auto"/>
              <w:jc w:val="center"/>
            </w:pPr>
            <w:r>
              <w:t>28天水灰比0.50（MPa）</w:t>
            </w:r>
          </w:p>
        </w:tc>
        <w:tc>
          <w:tcPr>
            <w:tcW w:w="964" w:type="pct"/>
            <w:gridSpan w:val="2"/>
            <w:tcBorders>
              <w:top w:val="single" w:color="auto" w:sz="4" w:space="0"/>
              <w:left w:val="nil"/>
              <w:bottom w:val="single" w:color="auto" w:sz="4" w:space="0"/>
              <w:right w:val="single" w:color="auto" w:sz="4" w:space="0"/>
            </w:tcBorders>
            <w:vAlign w:val="center"/>
          </w:tcPr>
          <w:p w14:paraId="70098013">
            <w:pPr>
              <w:spacing w:line="240" w:lineRule="auto"/>
              <w:jc w:val="center"/>
            </w:pPr>
            <w:r>
              <w:t>28天水灰比0.45（MPa）</w:t>
            </w:r>
          </w:p>
        </w:tc>
      </w:tr>
      <w:tr w14:paraId="4AED6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4" w:type="pct"/>
            <w:vMerge w:val="continue"/>
            <w:tcBorders>
              <w:top w:val="single" w:color="auto" w:sz="4" w:space="0"/>
              <w:left w:val="single" w:color="auto" w:sz="4" w:space="0"/>
              <w:bottom w:val="single" w:color="auto" w:sz="4" w:space="0"/>
              <w:right w:val="single" w:color="auto" w:sz="4" w:space="0"/>
            </w:tcBorders>
            <w:vAlign w:val="center"/>
          </w:tcPr>
          <w:p w14:paraId="42E1CADE">
            <w:pPr>
              <w:spacing w:line="240" w:lineRule="auto"/>
              <w:jc w:val="center"/>
            </w:pPr>
          </w:p>
        </w:tc>
        <w:tc>
          <w:tcPr>
            <w:tcW w:w="421" w:type="pct"/>
            <w:tcBorders>
              <w:top w:val="single" w:color="auto" w:sz="4" w:space="0"/>
              <w:left w:val="nil"/>
              <w:bottom w:val="single" w:color="auto" w:sz="4" w:space="0"/>
              <w:right w:val="single" w:color="auto" w:sz="4" w:space="0"/>
            </w:tcBorders>
            <w:vAlign w:val="center"/>
          </w:tcPr>
          <w:p w14:paraId="6B308E7F">
            <w:pPr>
              <w:spacing w:line="240" w:lineRule="auto"/>
              <w:jc w:val="center"/>
            </w:pPr>
            <w:r>
              <w:t>水泥</w:t>
            </w:r>
          </w:p>
        </w:tc>
        <w:tc>
          <w:tcPr>
            <w:tcW w:w="420" w:type="pct"/>
            <w:tcBorders>
              <w:top w:val="single" w:color="auto" w:sz="4" w:space="0"/>
              <w:left w:val="nil"/>
              <w:bottom w:val="single" w:color="auto" w:sz="4" w:space="0"/>
              <w:right w:val="single" w:color="auto" w:sz="4" w:space="0"/>
            </w:tcBorders>
            <w:vAlign w:val="center"/>
          </w:tcPr>
          <w:p w14:paraId="40D794E6">
            <w:pPr>
              <w:spacing w:line="240" w:lineRule="auto"/>
              <w:jc w:val="center"/>
            </w:pPr>
            <w:r>
              <w:t>原灰</w:t>
            </w:r>
          </w:p>
        </w:tc>
        <w:tc>
          <w:tcPr>
            <w:tcW w:w="1178" w:type="pct"/>
            <w:tcBorders>
              <w:top w:val="single" w:color="auto" w:sz="4" w:space="0"/>
              <w:left w:val="nil"/>
              <w:bottom w:val="single" w:color="auto" w:sz="4" w:space="0"/>
              <w:right w:val="single" w:color="auto" w:sz="4" w:space="0"/>
            </w:tcBorders>
            <w:vAlign w:val="center"/>
          </w:tcPr>
          <w:p w14:paraId="297811A6">
            <w:pPr>
              <w:spacing w:line="240" w:lineRule="auto"/>
              <w:jc w:val="center"/>
            </w:pPr>
            <w:r>
              <w:t>物理改性粉煤灰</w:t>
            </w:r>
          </w:p>
        </w:tc>
        <w:tc>
          <w:tcPr>
            <w:tcW w:w="504" w:type="pct"/>
            <w:tcBorders>
              <w:top w:val="single" w:color="auto" w:sz="4" w:space="0"/>
              <w:left w:val="nil"/>
              <w:bottom w:val="single" w:color="auto" w:sz="4" w:space="0"/>
              <w:right w:val="single" w:color="auto" w:sz="4" w:space="0"/>
            </w:tcBorders>
            <w:vAlign w:val="center"/>
          </w:tcPr>
          <w:p w14:paraId="7E49DBD3">
            <w:pPr>
              <w:spacing w:line="240" w:lineRule="auto"/>
              <w:jc w:val="center"/>
            </w:pPr>
            <w:r>
              <w:t>Ⅰ级灰</w:t>
            </w:r>
          </w:p>
        </w:tc>
        <w:tc>
          <w:tcPr>
            <w:tcW w:w="504" w:type="pct"/>
            <w:tcBorders>
              <w:top w:val="single" w:color="auto" w:sz="4" w:space="0"/>
              <w:left w:val="nil"/>
              <w:bottom w:val="single" w:color="auto" w:sz="4" w:space="0"/>
              <w:right w:val="single" w:color="auto" w:sz="4" w:space="0"/>
            </w:tcBorders>
            <w:vAlign w:val="center"/>
          </w:tcPr>
          <w:p w14:paraId="72833BA4">
            <w:pPr>
              <w:spacing w:line="240" w:lineRule="auto"/>
              <w:jc w:val="center"/>
            </w:pPr>
            <w:r>
              <w:t>抗折</w:t>
            </w:r>
          </w:p>
        </w:tc>
        <w:tc>
          <w:tcPr>
            <w:tcW w:w="505" w:type="pct"/>
            <w:tcBorders>
              <w:top w:val="single" w:color="auto" w:sz="4" w:space="0"/>
              <w:left w:val="nil"/>
              <w:bottom w:val="single" w:color="auto" w:sz="4" w:space="0"/>
              <w:right w:val="single" w:color="auto" w:sz="4" w:space="0"/>
            </w:tcBorders>
            <w:vAlign w:val="center"/>
          </w:tcPr>
          <w:p w14:paraId="2F93E483">
            <w:pPr>
              <w:spacing w:line="240" w:lineRule="auto"/>
              <w:jc w:val="center"/>
            </w:pPr>
            <w:r>
              <w:t>抗压</w:t>
            </w:r>
          </w:p>
        </w:tc>
        <w:tc>
          <w:tcPr>
            <w:tcW w:w="506" w:type="pct"/>
            <w:tcBorders>
              <w:top w:val="single" w:color="auto" w:sz="4" w:space="0"/>
              <w:left w:val="nil"/>
              <w:bottom w:val="single" w:color="auto" w:sz="4" w:space="0"/>
              <w:right w:val="single" w:color="auto" w:sz="4" w:space="0"/>
            </w:tcBorders>
            <w:vAlign w:val="center"/>
          </w:tcPr>
          <w:p w14:paraId="57B238A6">
            <w:pPr>
              <w:spacing w:line="240" w:lineRule="auto"/>
              <w:jc w:val="center"/>
            </w:pPr>
            <w:r>
              <w:t>抗折</w:t>
            </w:r>
          </w:p>
        </w:tc>
        <w:tc>
          <w:tcPr>
            <w:tcW w:w="458" w:type="pct"/>
            <w:tcBorders>
              <w:top w:val="single" w:color="auto" w:sz="4" w:space="0"/>
              <w:left w:val="nil"/>
              <w:bottom w:val="single" w:color="auto" w:sz="4" w:space="0"/>
              <w:right w:val="single" w:color="auto" w:sz="4" w:space="0"/>
            </w:tcBorders>
            <w:vAlign w:val="center"/>
          </w:tcPr>
          <w:p w14:paraId="6B3427F2">
            <w:pPr>
              <w:spacing w:line="240" w:lineRule="auto"/>
              <w:jc w:val="center"/>
            </w:pPr>
            <w:r>
              <w:t>抗压</w:t>
            </w:r>
          </w:p>
        </w:tc>
      </w:tr>
      <w:tr w14:paraId="29A9D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4" w:type="pct"/>
            <w:tcBorders>
              <w:top w:val="single" w:color="auto" w:sz="4" w:space="0"/>
              <w:left w:val="single" w:color="auto" w:sz="4" w:space="0"/>
              <w:bottom w:val="single" w:color="auto" w:sz="4" w:space="0"/>
              <w:right w:val="single" w:color="auto" w:sz="4" w:space="0"/>
            </w:tcBorders>
            <w:vAlign w:val="center"/>
          </w:tcPr>
          <w:p w14:paraId="0FC17B30">
            <w:pPr>
              <w:spacing w:line="240" w:lineRule="auto"/>
              <w:jc w:val="center"/>
            </w:pPr>
            <w:r>
              <w:t>P0</w:t>
            </w:r>
          </w:p>
        </w:tc>
        <w:tc>
          <w:tcPr>
            <w:tcW w:w="421" w:type="pct"/>
            <w:tcBorders>
              <w:top w:val="single" w:color="auto" w:sz="4" w:space="0"/>
              <w:left w:val="nil"/>
              <w:bottom w:val="single" w:color="auto" w:sz="4" w:space="0"/>
              <w:right w:val="single" w:color="auto" w:sz="4" w:space="0"/>
            </w:tcBorders>
            <w:vAlign w:val="center"/>
          </w:tcPr>
          <w:p w14:paraId="0C9F8934">
            <w:pPr>
              <w:spacing w:line="240" w:lineRule="auto"/>
              <w:jc w:val="center"/>
            </w:pPr>
            <w:r>
              <w:t>100</w:t>
            </w:r>
          </w:p>
        </w:tc>
        <w:tc>
          <w:tcPr>
            <w:tcW w:w="420" w:type="pct"/>
            <w:tcBorders>
              <w:top w:val="single" w:color="auto" w:sz="4" w:space="0"/>
              <w:left w:val="nil"/>
              <w:bottom w:val="single" w:color="auto" w:sz="4" w:space="0"/>
              <w:right w:val="single" w:color="auto" w:sz="4" w:space="0"/>
            </w:tcBorders>
            <w:vAlign w:val="center"/>
          </w:tcPr>
          <w:p w14:paraId="5F5F3C2C">
            <w:pPr>
              <w:spacing w:line="240" w:lineRule="auto"/>
              <w:jc w:val="center"/>
            </w:pPr>
            <w:r>
              <w:t>/</w:t>
            </w:r>
          </w:p>
        </w:tc>
        <w:tc>
          <w:tcPr>
            <w:tcW w:w="1178" w:type="pct"/>
            <w:tcBorders>
              <w:top w:val="single" w:color="auto" w:sz="4" w:space="0"/>
              <w:left w:val="nil"/>
              <w:bottom w:val="single" w:color="auto" w:sz="4" w:space="0"/>
              <w:right w:val="single" w:color="auto" w:sz="4" w:space="0"/>
            </w:tcBorders>
            <w:vAlign w:val="center"/>
          </w:tcPr>
          <w:p w14:paraId="63944B3C">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4B17222D">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5186E8F8">
            <w:pPr>
              <w:spacing w:line="240" w:lineRule="auto"/>
              <w:jc w:val="center"/>
            </w:pPr>
            <w:r>
              <w:t>9.0</w:t>
            </w:r>
          </w:p>
        </w:tc>
        <w:tc>
          <w:tcPr>
            <w:tcW w:w="505" w:type="pct"/>
            <w:tcBorders>
              <w:top w:val="single" w:color="auto" w:sz="4" w:space="0"/>
              <w:left w:val="nil"/>
              <w:bottom w:val="single" w:color="auto" w:sz="4" w:space="0"/>
              <w:right w:val="single" w:color="auto" w:sz="4" w:space="0"/>
            </w:tcBorders>
            <w:vAlign w:val="center"/>
          </w:tcPr>
          <w:p w14:paraId="3FA45D04">
            <w:pPr>
              <w:spacing w:line="240" w:lineRule="auto"/>
              <w:jc w:val="center"/>
            </w:pPr>
            <w:r>
              <w:t>9.9</w:t>
            </w:r>
          </w:p>
        </w:tc>
        <w:tc>
          <w:tcPr>
            <w:tcW w:w="506" w:type="pct"/>
            <w:tcBorders>
              <w:top w:val="single" w:color="auto" w:sz="4" w:space="0"/>
              <w:left w:val="nil"/>
              <w:bottom w:val="single" w:color="auto" w:sz="4" w:space="0"/>
              <w:right w:val="single" w:color="auto" w:sz="4" w:space="0"/>
            </w:tcBorders>
            <w:vAlign w:val="center"/>
          </w:tcPr>
          <w:p w14:paraId="1F914403">
            <w:pPr>
              <w:spacing w:line="240" w:lineRule="auto"/>
              <w:jc w:val="center"/>
            </w:pPr>
            <w:r>
              <w:t>49.6</w:t>
            </w:r>
          </w:p>
        </w:tc>
        <w:tc>
          <w:tcPr>
            <w:tcW w:w="458" w:type="pct"/>
            <w:tcBorders>
              <w:top w:val="single" w:color="auto" w:sz="4" w:space="0"/>
              <w:left w:val="nil"/>
              <w:bottom w:val="single" w:color="auto" w:sz="4" w:space="0"/>
              <w:right w:val="single" w:color="auto" w:sz="4" w:space="0"/>
            </w:tcBorders>
            <w:vAlign w:val="center"/>
          </w:tcPr>
          <w:p w14:paraId="22EAED99">
            <w:pPr>
              <w:spacing w:line="240" w:lineRule="auto"/>
              <w:jc w:val="center"/>
            </w:pPr>
            <w:r>
              <w:t>55.8</w:t>
            </w:r>
          </w:p>
        </w:tc>
      </w:tr>
      <w:tr w14:paraId="44C3A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4" w:type="pct"/>
            <w:tcBorders>
              <w:top w:val="single" w:color="auto" w:sz="4" w:space="0"/>
              <w:left w:val="single" w:color="auto" w:sz="4" w:space="0"/>
              <w:bottom w:val="single" w:color="auto" w:sz="4" w:space="0"/>
              <w:right w:val="single" w:color="auto" w:sz="4" w:space="0"/>
            </w:tcBorders>
            <w:vAlign w:val="center"/>
          </w:tcPr>
          <w:p w14:paraId="74A345F2">
            <w:pPr>
              <w:spacing w:line="240" w:lineRule="auto"/>
              <w:jc w:val="center"/>
            </w:pPr>
            <w:r>
              <w:t>PFY1</w:t>
            </w:r>
          </w:p>
        </w:tc>
        <w:tc>
          <w:tcPr>
            <w:tcW w:w="421" w:type="pct"/>
            <w:tcBorders>
              <w:top w:val="single" w:color="auto" w:sz="4" w:space="0"/>
              <w:left w:val="nil"/>
              <w:bottom w:val="single" w:color="auto" w:sz="4" w:space="0"/>
              <w:right w:val="single" w:color="auto" w:sz="4" w:space="0"/>
            </w:tcBorders>
            <w:vAlign w:val="center"/>
          </w:tcPr>
          <w:p w14:paraId="36BF5BF0">
            <w:pPr>
              <w:spacing w:line="240" w:lineRule="auto"/>
              <w:jc w:val="center"/>
            </w:pPr>
            <w:r>
              <w:t>95</w:t>
            </w:r>
          </w:p>
        </w:tc>
        <w:tc>
          <w:tcPr>
            <w:tcW w:w="420" w:type="pct"/>
            <w:tcBorders>
              <w:top w:val="single" w:color="auto" w:sz="4" w:space="0"/>
              <w:left w:val="nil"/>
              <w:bottom w:val="single" w:color="auto" w:sz="4" w:space="0"/>
              <w:right w:val="single" w:color="auto" w:sz="4" w:space="0"/>
            </w:tcBorders>
            <w:vAlign w:val="center"/>
          </w:tcPr>
          <w:p w14:paraId="6636C5F3">
            <w:pPr>
              <w:spacing w:line="240" w:lineRule="auto"/>
              <w:jc w:val="center"/>
            </w:pPr>
            <w:r>
              <w:t>5</w:t>
            </w:r>
          </w:p>
        </w:tc>
        <w:tc>
          <w:tcPr>
            <w:tcW w:w="1178" w:type="pct"/>
            <w:tcBorders>
              <w:top w:val="single" w:color="auto" w:sz="4" w:space="0"/>
              <w:left w:val="nil"/>
              <w:bottom w:val="single" w:color="auto" w:sz="4" w:space="0"/>
              <w:right w:val="single" w:color="auto" w:sz="4" w:space="0"/>
            </w:tcBorders>
            <w:vAlign w:val="center"/>
          </w:tcPr>
          <w:p w14:paraId="5E54EB38">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7AD0AB6A">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324D0D2D">
            <w:pPr>
              <w:spacing w:line="240" w:lineRule="auto"/>
              <w:jc w:val="center"/>
            </w:pPr>
            <w:r>
              <w:t>8.8</w:t>
            </w:r>
          </w:p>
        </w:tc>
        <w:tc>
          <w:tcPr>
            <w:tcW w:w="505" w:type="pct"/>
            <w:tcBorders>
              <w:top w:val="single" w:color="auto" w:sz="4" w:space="0"/>
              <w:left w:val="nil"/>
              <w:bottom w:val="single" w:color="auto" w:sz="4" w:space="0"/>
              <w:right w:val="single" w:color="auto" w:sz="4" w:space="0"/>
            </w:tcBorders>
            <w:vAlign w:val="center"/>
          </w:tcPr>
          <w:p w14:paraId="50FF4100">
            <w:pPr>
              <w:spacing w:line="240" w:lineRule="auto"/>
              <w:jc w:val="center"/>
            </w:pPr>
            <w:r>
              <w:t>9.4</w:t>
            </w:r>
          </w:p>
        </w:tc>
        <w:tc>
          <w:tcPr>
            <w:tcW w:w="506" w:type="pct"/>
            <w:tcBorders>
              <w:top w:val="single" w:color="auto" w:sz="4" w:space="0"/>
              <w:left w:val="nil"/>
              <w:bottom w:val="single" w:color="auto" w:sz="4" w:space="0"/>
              <w:right w:val="single" w:color="auto" w:sz="4" w:space="0"/>
            </w:tcBorders>
            <w:vAlign w:val="center"/>
          </w:tcPr>
          <w:p w14:paraId="6B6D8C0B">
            <w:pPr>
              <w:spacing w:line="240" w:lineRule="auto"/>
              <w:jc w:val="center"/>
            </w:pPr>
            <w:r>
              <w:t>47.9</w:t>
            </w:r>
          </w:p>
        </w:tc>
        <w:tc>
          <w:tcPr>
            <w:tcW w:w="458" w:type="pct"/>
            <w:tcBorders>
              <w:top w:val="single" w:color="auto" w:sz="4" w:space="0"/>
              <w:left w:val="nil"/>
              <w:bottom w:val="single" w:color="auto" w:sz="4" w:space="0"/>
              <w:right w:val="single" w:color="auto" w:sz="4" w:space="0"/>
            </w:tcBorders>
            <w:vAlign w:val="center"/>
          </w:tcPr>
          <w:p w14:paraId="64A2632D">
            <w:pPr>
              <w:spacing w:line="240" w:lineRule="auto"/>
              <w:jc w:val="center"/>
            </w:pPr>
            <w:r>
              <w:t>56.0</w:t>
            </w:r>
          </w:p>
        </w:tc>
      </w:tr>
      <w:tr w14:paraId="44D69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4" w:type="pct"/>
            <w:tcBorders>
              <w:top w:val="single" w:color="auto" w:sz="4" w:space="0"/>
              <w:left w:val="single" w:color="auto" w:sz="4" w:space="0"/>
              <w:bottom w:val="single" w:color="auto" w:sz="4" w:space="0"/>
              <w:right w:val="single" w:color="auto" w:sz="4" w:space="0"/>
            </w:tcBorders>
            <w:vAlign w:val="center"/>
          </w:tcPr>
          <w:p w14:paraId="20BD0F0E">
            <w:pPr>
              <w:spacing w:line="240" w:lineRule="auto"/>
              <w:jc w:val="center"/>
            </w:pPr>
            <w:r>
              <w:t>PFY2</w:t>
            </w:r>
          </w:p>
        </w:tc>
        <w:tc>
          <w:tcPr>
            <w:tcW w:w="421" w:type="pct"/>
            <w:tcBorders>
              <w:top w:val="single" w:color="auto" w:sz="4" w:space="0"/>
              <w:left w:val="nil"/>
              <w:bottom w:val="single" w:color="auto" w:sz="4" w:space="0"/>
              <w:right w:val="single" w:color="auto" w:sz="4" w:space="0"/>
            </w:tcBorders>
            <w:vAlign w:val="center"/>
          </w:tcPr>
          <w:p w14:paraId="0FF7548B">
            <w:pPr>
              <w:spacing w:line="240" w:lineRule="auto"/>
              <w:jc w:val="center"/>
            </w:pPr>
            <w:r>
              <w:t>85</w:t>
            </w:r>
          </w:p>
        </w:tc>
        <w:tc>
          <w:tcPr>
            <w:tcW w:w="420" w:type="pct"/>
            <w:tcBorders>
              <w:top w:val="single" w:color="auto" w:sz="4" w:space="0"/>
              <w:left w:val="nil"/>
              <w:bottom w:val="single" w:color="auto" w:sz="4" w:space="0"/>
              <w:right w:val="single" w:color="auto" w:sz="4" w:space="0"/>
            </w:tcBorders>
            <w:vAlign w:val="center"/>
          </w:tcPr>
          <w:p w14:paraId="1E7324C7">
            <w:pPr>
              <w:spacing w:line="240" w:lineRule="auto"/>
              <w:jc w:val="center"/>
            </w:pPr>
            <w:r>
              <w:t>15</w:t>
            </w:r>
          </w:p>
        </w:tc>
        <w:tc>
          <w:tcPr>
            <w:tcW w:w="1178" w:type="pct"/>
            <w:tcBorders>
              <w:top w:val="single" w:color="auto" w:sz="4" w:space="0"/>
              <w:left w:val="nil"/>
              <w:bottom w:val="single" w:color="auto" w:sz="4" w:space="0"/>
              <w:right w:val="single" w:color="auto" w:sz="4" w:space="0"/>
            </w:tcBorders>
            <w:vAlign w:val="center"/>
          </w:tcPr>
          <w:p w14:paraId="42569652">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0ED1B231">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1DADB295">
            <w:pPr>
              <w:spacing w:line="240" w:lineRule="auto"/>
              <w:jc w:val="center"/>
            </w:pPr>
            <w:r>
              <w:t>8.5</w:t>
            </w:r>
          </w:p>
        </w:tc>
        <w:tc>
          <w:tcPr>
            <w:tcW w:w="505" w:type="pct"/>
            <w:tcBorders>
              <w:top w:val="single" w:color="auto" w:sz="4" w:space="0"/>
              <w:left w:val="nil"/>
              <w:bottom w:val="single" w:color="auto" w:sz="4" w:space="0"/>
              <w:right w:val="single" w:color="auto" w:sz="4" w:space="0"/>
            </w:tcBorders>
            <w:vAlign w:val="center"/>
          </w:tcPr>
          <w:p w14:paraId="2BA8BB1F">
            <w:pPr>
              <w:spacing w:line="240" w:lineRule="auto"/>
              <w:jc w:val="center"/>
            </w:pPr>
            <w:r>
              <w:t>9.0</w:t>
            </w:r>
          </w:p>
        </w:tc>
        <w:tc>
          <w:tcPr>
            <w:tcW w:w="506" w:type="pct"/>
            <w:tcBorders>
              <w:top w:val="single" w:color="auto" w:sz="4" w:space="0"/>
              <w:left w:val="nil"/>
              <w:bottom w:val="single" w:color="auto" w:sz="4" w:space="0"/>
              <w:right w:val="single" w:color="auto" w:sz="4" w:space="0"/>
            </w:tcBorders>
            <w:vAlign w:val="center"/>
          </w:tcPr>
          <w:p w14:paraId="031F688F">
            <w:pPr>
              <w:spacing w:line="240" w:lineRule="auto"/>
              <w:jc w:val="center"/>
            </w:pPr>
            <w:r>
              <w:t>42.3</w:t>
            </w:r>
          </w:p>
        </w:tc>
        <w:tc>
          <w:tcPr>
            <w:tcW w:w="458" w:type="pct"/>
            <w:tcBorders>
              <w:top w:val="single" w:color="auto" w:sz="4" w:space="0"/>
              <w:left w:val="nil"/>
              <w:bottom w:val="single" w:color="auto" w:sz="4" w:space="0"/>
              <w:right w:val="single" w:color="auto" w:sz="4" w:space="0"/>
            </w:tcBorders>
            <w:vAlign w:val="center"/>
          </w:tcPr>
          <w:p w14:paraId="66FAF6AF">
            <w:pPr>
              <w:spacing w:line="240" w:lineRule="auto"/>
              <w:jc w:val="center"/>
            </w:pPr>
            <w:r>
              <w:t>52.2</w:t>
            </w:r>
          </w:p>
        </w:tc>
      </w:tr>
      <w:tr w14:paraId="440C8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4" w:type="pct"/>
            <w:tcBorders>
              <w:top w:val="single" w:color="auto" w:sz="4" w:space="0"/>
              <w:left w:val="single" w:color="auto" w:sz="4" w:space="0"/>
              <w:bottom w:val="single" w:color="auto" w:sz="4" w:space="0"/>
              <w:right w:val="single" w:color="auto" w:sz="4" w:space="0"/>
            </w:tcBorders>
            <w:vAlign w:val="center"/>
          </w:tcPr>
          <w:p w14:paraId="772D9A1A">
            <w:pPr>
              <w:spacing w:line="240" w:lineRule="auto"/>
              <w:jc w:val="center"/>
            </w:pPr>
            <w:r>
              <w:t>PFY3</w:t>
            </w:r>
          </w:p>
        </w:tc>
        <w:tc>
          <w:tcPr>
            <w:tcW w:w="421" w:type="pct"/>
            <w:tcBorders>
              <w:top w:val="single" w:color="auto" w:sz="4" w:space="0"/>
              <w:left w:val="nil"/>
              <w:bottom w:val="single" w:color="auto" w:sz="4" w:space="0"/>
              <w:right w:val="single" w:color="auto" w:sz="4" w:space="0"/>
            </w:tcBorders>
            <w:vAlign w:val="center"/>
          </w:tcPr>
          <w:p w14:paraId="2B7DDEEB">
            <w:pPr>
              <w:spacing w:line="240" w:lineRule="auto"/>
              <w:jc w:val="center"/>
            </w:pPr>
            <w:r>
              <w:t>75</w:t>
            </w:r>
          </w:p>
        </w:tc>
        <w:tc>
          <w:tcPr>
            <w:tcW w:w="420" w:type="pct"/>
            <w:tcBorders>
              <w:top w:val="single" w:color="auto" w:sz="4" w:space="0"/>
              <w:left w:val="nil"/>
              <w:bottom w:val="single" w:color="auto" w:sz="4" w:space="0"/>
              <w:right w:val="single" w:color="auto" w:sz="4" w:space="0"/>
            </w:tcBorders>
            <w:vAlign w:val="center"/>
          </w:tcPr>
          <w:p w14:paraId="16DDA06F">
            <w:pPr>
              <w:spacing w:line="240" w:lineRule="auto"/>
              <w:jc w:val="center"/>
            </w:pPr>
            <w:r>
              <w:t>25</w:t>
            </w:r>
          </w:p>
        </w:tc>
        <w:tc>
          <w:tcPr>
            <w:tcW w:w="1178" w:type="pct"/>
            <w:tcBorders>
              <w:top w:val="single" w:color="auto" w:sz="4" w:space="0"/>
              <w:left w:val="nil"/>
              <w:bottom w:val="single" w:color="auto" w:sz="4" w:space="0"/>
              <w:right w:val="single" w:color="auto" w:sz="4" w:space="0"/>
            </w:tcBorders>
            <w:vAlign w:val="center"/>
          </w:tcPr>
          <w:p w14:paraId="4F608B9A">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45D88583">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1E86C204">
            <w:pPr>
              <w:spacing w:line="240" w:lineRule="auto"/>
              <w:jc w:val="center"/>
            </w:pPr>
            <w:r>
              <w:t>8.3</w:t>
            </w:r>
          </w:p>
        </w:tc>
        <w:tc>
          <w:tcPr>
            <w:tcW w:w="505" w:type="pct"/>
            <w:tcBorders>
              <w:top w:val="single" w:color="auto" w:sz="4" w:space="0"/>
              <w:left w:val="nil"/>
              <w:bottom w:val="single" w:color="auto" w:sz="4" w:space="0"/>
              <w:right w:val="single" w:color="auto" w:sz="4" w:space="0"/>
            </w:tcBorders>
            <w:vAlign w:val="center"/>
          </w:tcPr>
          <w:p w14:paraId="32CDDB9C">
            <w:pPr>
              <w:spacing w:line="240" w:lineRule="auto"/>
              <w:jc w:val="center"/>
            </w:pPr>
            <w:r>
              <w:t>8.5</w:t>
            </w:r>
          </w:p>
        </w:tc>
        <w:tc>
          <w:tcPr>
            <w:tcW w:w="506" w:type="pct"/>
            <w:tcBorders>
              <w:top w:val="single" w:color="auto" w:sz="4" w:space="0"/>
              <w:left w:val="nil"/>
              <w:bottom w:val="single" w:color="auto" w:sz="4" w:space="0"/>
              <w:right w:val="single" w:color="auto" w:sz="4" w:space="0"/>
            </w:tcBorders>
            <w:vAlign w:val="center"/>
          </w:tcPr>
          <w:p w14:paraId="1E6EC671">
            <w:pPr>
              <w:spacing w:line="240" w:lineRule="auto"/>
              <w:jc w:val="center"/>
            </w:pPr>
            <w:r>
              <w:t>38.9</w:t>
            </w:r>
          </w:p>
        </w:tc>
        <w:tc>
          <w:tcPr>
            <w:tcW w:w="458" w:type="pct"/>
            <w:tcBorders>
              <w:top w:val="single" w:color="auto" w:sz="4" w:space="0"/>
              <w:left w:val="nil"/>
              <w:bottom w:val="single" w:color="auto" w:sz="4" w:space="0"/>
              <w:right w:val="single" w:color="auto" w:sz="4" w:space="0"/>
            </w:tcBorders>
            <w:vAlign w:val="center"/>
          </w:tcPr>
          <w:p w14:paraId="1ABF9D91">
            <w:pPr>
              <w:spacing w:line="240" w:lineRule="auto"/>
              <w:jc w:val="center"/>
            </w:pPr>
            <w:r>
              <w:t>46.2</w:t>
            </w:r>
          </w:p>
        </w:tc>
      </w:tr>
      <w:tr w14:paraId="02531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4" w:type="pct"/>
            <w:tcBorders>
              <w:top w:val="single" w:color="auto" w:sz="4" w:space="0"/>
              <w:left w:val="single" w:color="auto" w:sz="4" w:space="0"/>
              <w:bottom w:val="single" w:color="auto" w:sz="4" w:space="0"/>
              <w:right w:val="single" w:color="auto" w:sz="4" w:space="0"/>
            </w:tcBorders>
            <w:vAlign w:val="center"/>
          </w:tcPr>
          <w:p w14:paraId="2F85AAD9">
            <w:pPr>
              <w:spacing w:line="240" w:lineRule="auto"/>
              <w:jc w:val="center"/>
            </w:pPr>
            <w:r>
              <w:t>PFY4</w:t>
            </w:r>
          </w:p>
        </w:tc>
        <w:tc>
          <w:tcPr>
            <w:tcW w:w="421" w:type="pct"/>
            <w:tcBorders>
              <w:top w:val="single" w:color="auto" w:sz="4" w:space="0"/>
              <w:left w:val="nil"/>
              <w:bottom w:val="single" w:color="auto" w:sz="4" w:space="0"/>
              <w:right w:val="single" w:color="auto" w:sz="4" w:space="0"/>
            </w:tcBorders>
            <w:vAlign w:val="center"/>
          </w:tcPr>
          <w:p w14:paraId="35F80985">
            <w:pPr>
              <w:spacing w:line="240" w:lineRule="auto"/>
              <w:jc w:val="center"/>
            </w:pPr>
            <w:r>
              <w:t>65</w:t>
            </w:r>
          </w:p>
        </w:tc>
        <w:tc>
          <w:tcPr>
            <w:tcW w:w="420" w:type="pct"/>
            <w:tcBorders>
              <w:top w:val="single" w:color="auto" w:sz="4" w:space="0"/>
              <w:left w:val="nil"/>
              <w:bottom w:val="single" w:color="auto" w:sz="4" w:space="0"/>
              <w:right w:val="single" w:color="auto" w:sz="4" w:space="0"/>
            </w:tcBorders>
            <w:vAlign w:val="center"/>
          </w:tcPr>
          <w:p w14:paraId="0792001F">
            <w:pPr>
              <w:spacing w:line="240" w:lineRule="auto"/>
              <w:jc w:val="center"/>
            </w:pPr>
            <w:r>
              <w:t>35</w:t>
            </w:r>
          </w:p>
        </w:tc>
        <w:tc>
          <w:tcPr>
            <w:tcW w:w="1178" w:type="pct"/>
            <w:tcBorders>
              <w:top w:val="single" w:color="auto" w:sz="4" w:space="0"/>
              <w:left w:val="nil"/>
              <w:bottom w:val="single" w:color="auto" w:sz="4" w:space="0"/>
              <w:right w:val="single" w:color="auto" w:sz="4" w:space="0"/>
            </w:tcBorders>
            <w:vAlign w:val="center"/>
          </w:tcPr>
          <w:p w14:paraId="071B5FB6">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4033704E">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10683A1A">
            <w:pPr>
              <w:spacing w:line="240" w:lineRule="auto"/>
              <w:jc w:val="center"/>
            </w:pPr>
            <w:r>
              <w:t>8.0</w:t>
            </w:r>
          </w:p>
        </w:tc>
        <w:tc>
          <w:tcPr>
            <w:tcW w:w="505" w:type="pct"/>
            <w:tcBorders>
              <w:top w:val="single" w:color="auto" w:sz="4" w:space="0"/>
              <w:left w:val="nil"/>
              <w:bottom w:val="single" w:color="auto" w:sz="4" w:space="0"/>
              <w:right w:val="single" w:color="auto" w:sz="4" w:space="0"/>
            </w:tcBorders>
            <w:vAlign w:val="center"/>
          </w:tcPr>
          <w:p w14:paraId="0989C227">
            <w:pPr>
              <w:spacing w:line="240" w:lineRule="auto"/>
              <w:jc w:val="center"/>
            </w:pPr>
            <w:r>
              <w:t>7.8</w:t>
            </w:r>
          </w:p>
        </w:tc>
        <w:tc>
          <w:tcPr>
            <w:tcW w:w="506" w:type="pct"/>
            <w:tcBorders>
              <w:top w:val="single" w:color="auto" w:sz="4" w:space="0"/>
              <w:left w:val="nil"/>
              <w:bottom w:val="single" w:color="auto" w:sz="4" w:space="0"/>
              <w:right w:val="single" w:color="auto" w:sz="4" w:space="0"/>
            </w:tcBorders>
            <w:vAlign w:val="center"/>
          </w:tcPr>
          <w:p w14:paraId="04EA0952">
            <w:pPr>
              <w:spacing w:line="240" w:lineRule="auto"/>
              <w:jc w:val="center"/>
            </w:pPr>
            <w:r>
              <w:t>31.6</w:t>
            </w:r>
          </w:p>
        </w:tc>
        <w:tc>
          <w:tcPr>
            <w:tcW w:w="458" w:type="pct"/>
            <w:tcBorders>
              <w:top w:val="single" w:color="auto" w:sz="4" w:space="0"/>
              <w:left w:val="nil"/>
              <w:bottom w:val="single" w:color="auto" w:sz="4" w:space="0"/>
              <w:right w:val="single" w:color="auto" w:sz="4" w:space="0"/>
            </w:tcBorders>
            <w:vAlign w:val="center"/>
          </w:tcPr>
          <w:p w14:paraId="21743647">
            <w:pPr>
              <w:spacing w:line="240" w:lineRule="auto"/>
              <w:jc w:val="center"/>
            </w:pPr>
            <w:r>
              <w:t>40.5</w:t>
            </w:r>
          </w:p>
        </w:tc>
      </w:tr>
      <w:tr w14:paraId="56A8B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4" w:type="pct"/>
            <w:tcBorders>
              <w:top w:val="single" w:color="auto" w:sz="4" w:space="0"/>
              <w:left w:val="single" w:color="auto" w:sz="4" w:space="0"/>
              <w:bottom w:val="single" w:color="auto" w:sz="4" w:space="0"/>
              <w:right w:val="single" w:color="auto" w:sz="4" w:space="0"/>
            </w:tcBorders>
            <w:vAlign w:val="center"/>
          </w:tcPr>
          <w:p w14:paraId="47C299C2">
            <w:pPr>
              <w:spacing w:line="240" w:lineRule="auto"/>
              <w:jc w:val="center"/>
            </w:pPr>
            <w:r>
              <w:t>PFW1</w:t>
            </w:r>
          </w:p>
        </w:tc>
        <w:tc>
          <w:tcPr>
            <w:tcW w:w="421" w:type="pct"/>
            <w:tcBorders>
              <w:top w:val="single" w:color="auto" w:sz="4" w:space="0"/>
              <w:left w:val="nil"/>
              <w:bottom w:val="single" w:color="auto" w:sz="4" w:space="0"/>
              <w:right w:val="single" w:color="auto" w:sz="4" w:space="0"/>
            </w:tcBorders>
            <w:vAlign w:val="center"/>
          </w:tcPr>
          <w:p w14:paraId="0F91867E">
            <w:pPr>
              <w:spacing w:line="240" w:lineRule="auto"/>
              <w:jc w:val="center"/>
            </w:pPr>
            <w:r>
              <w:t>95</w:t>
            </w:r>
          </w:p>
        </w:tc>
        <w:tc>
          <w:tcPr>
            <w:tcW w:w="420" w:type="pct"/>
            <w:tcBorders>
              <w:top w:val="single" w:color="auto" w:sz="4" w:space="0"/>
              <w:left w:val="nil"/>
              <w:bottom w:val="single" w:color="auto" w:sz="4" w:space="0"/>
              <w:right w:val="single" w:color="auto" w:sz="4" w:space="0"/>
            </w:tcBorders>
            <w:vAlign w:val="center"/>
          </w:tcPr>
          <w:p w14:paraId="5CE1402D">
            <w:pPr>
              <w:spacing w:line="240" w:lineRule="auto"/>
              <w:jc w:val="center"/>
            </w:pPr>
            <w:r>
              <w:t>/</w:t>
            </w:r>
          </w:p>
        </w:tc>
        <w:tc>
          <w:tcPr>
            <w:tcW w:w="1178" w:type="pct"/>
            <w:tcBorders>
              <w:top w:val="single" w:color="auto" w:sz="4" w:space="0"/>
              <w:left w:val="nil"/>
              <w:bottom w:val="single" w:color="auto" w:sz="4" w:space="0"/>
              <w:right w:val="single" w:color="auto" w:sz="4" w:space="0"/>
            </w:tcBorders>
            <w:vAlign w:val="center"/>
          </w:tcPr>
          <w:p w14:paraId="4867E539">
            <w:pPr>
              <w:spacing w:line="240" w:lineRule="auto"/>
              <w:jc w:val="center"/>
            </w:pPr>
            <w:r>
              <w:t>5</w:t>
            </w:r>
          </w:p>
        </w:tc>
        <w:tc>
          <w:tcPr>
            <w:tcW w:w="504" w:type="pct"/>
            <w:tcBorders>
              <w:top w:val="single" w:color="auto" w:sz="4" w:space="0"/>
              <w:left w:val="nil"/>
              <w:bottom w:val="single" w:color="auto" w:sz="4" w:space="0"/>
              <w:right w:val="single" w:color="auto" w:sz="4" w:space="0"/>
            </w:tcBorders>
            <w:vAlign w:val="center"/>
          </w:tcPr>
          <w:p w14:paraId="54D1A49B">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09A4B38A">
            <w:pPr>
              <w:spacing w:line="240" w:lineRule="auto"/>
              <w:jc w:val="center"/>
            </w:pPr>
            <w:r>
              <w:t>8.6</w:t>
            </w:r>
          </w:p>
        </w:tc>
        <w:tc>
          <w:tcPr>
            <w:tcW w:w="505" w:type="pct"/>
            <w:tcBorders>
              <w:top w:val="single" w:color="auto" w:sz="4" w:space="0"/>
              <w:left w:val="nil"/>
              <w:bottom w:val="single" w:color="auto" w:sz="4" w:space="0"/>
              <w:right w:val="single" w:color="auto" w:sz="4" w:space="0"/>
            </w:tcBorders>
            <w:vAlign w:val="center"/>
          </w:tcPr>
          <w:p w14:paraId="0E8877D3">
            <w:pPr>
              <w:spacing w:line="240" w:lineRule="auto"/>
              <w:jc w:val="center"/>
            </w:pPr>
            <w:r>
              <w:t>10.0</w:t>
            </w:r>
          </w:p>
        </w:tc>
        <w:tc>
          <w:tcPr>
            <w:tcW w:w="506" w:type="pct"/>
            <w:tcBorders>
              <w:top w:val="single" w:color="auto" w:sz="4" w:space="0"/>
              <w:left w:val="nil"/>
              <w:bottom w:val="single" w:color="auto" w:sz="4" w:space="0"/>
              <w:right w:val="single" w:color="auto" w:sz="4" w:space="0"/>
            </w:tcBorders>
            <w:vAlign w:val="center"/>
          </w:tcPr>
          <w:p w14:paraId="24698018">
            <w:pPr>
              <w:spacing w:line="240" w:lineRule="auto"/>
              <w:jc w:val="center"/>
            </w:pPr>
            <w:r>
              <w:t>46.6</w:t>
            </w:r>
          </w:p>
        </w:tc>
        <w:tc>
          <w:tcPr>
            <w:tcW w:w="458" w:type="pct"/>
            <w:tcBorders>
              <w:top w:val="single" w:color="auto" w:sz="4" w:space="0"/>
              <w:left w:val="nil"/>
              <w:bottom w:val="single" w:color="auto" w:sz="4" w:space="0"/>
              <w:right w:val="single" w:color="auto" w:sz="4" w:space="0"/>
            </w:tcBorders>
            <w:vAlign w:val="center"/>
          </w:tcPr>
          <w:p w14:paraId="7E63D329">
            <w:pPr>
              <w:spacing w:line="240" w:lineRule="auto"/>
              <w:jc w:val="center"/>
            </w:pPr>
            <w:r>
              <w:t>56.9</w:t>
            </w:r>
          </w:p>
        </w:tc>
      </w:tr>
      <w:tr w14:paraId="3D0D3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4" w:type="pct"/>
            <w:tcBorders>
              <w:top w:val="single" w:color="auto" w:sz="4" w:space="0"/>
              <w:left w:val="single" w:color="auto" w:sz="4" w:space="0"/>
              <w:bottom w:val="single" w:color="auto" w:sz="4" w:space="0"/>
              <w:right w:val="single" w:color="auto" w:sz="4" w:space="0"/>
            </w:tcBorders>
            <w:vAlign w:val="center"/>
          </w:tcPr>
          <w:p w14:paraId="22D3420A">
            <w:pPr>
              <w:spacing w:line="240" w:lineRule="auto"/>
              <w:jc w:val="center"/>
            </w:pPr>
            <w:r>
              <w:t>PFW2</w:t>
            </w:r>
          </w:p>
        </w:tc>
        <w:tc>
          <w:tcPr>
            <w:tcW w:w="421" w:type="pct"/>
            <w:tcBorders>
              <w:top w:val="single" w:color="auto" w:sz="4" w:space="0"/>
              <w:left w:val="nil"/>
              <w:bottom w:val="single" w:color="auto" w:sz="4" w:space="0"/>
              <w:right w:val="single" w:color="auto" w:sz="4" w:space="0"/>
            </w:tcBorders>
            <w:vAlign w:val="center"/>
          </w:tcPr>
          <w:p w14:paraId="1D994B4F">
            <w:pPr>
              <w:spacing w:line="240" w:lineRule="auto"/>
              <w:jc w:val="center"/>
            </w:pPr>
            <w:r>
              <w:t>85</w:t>
            </w:r>
          </w:p>
        </w:tc>
        <w:tc>
          <w:tcPr>
            <w:tcW w:w="420" w:type="pct"/>
            <w:tcBorders>
              <w:top w:val="single" w:color="auto" w:sz="4" w:space="0"/>
              <w:left w:val="nil"/>
              <w:bottom w:val="single" w:color="auto" w:sz="4" w:space="0"/>
              <w:right w:val="single" w:color="auto" w:sz="4" w:space="0"/>
            </w:tcBorders>
            <w:vAlign w:val="center"/>
          </w:tcPr>
          <w:p w14:paraId="1CEAC8BA">
            <w:pPr>
              <w:spacing w:line="240" w:lineRule="auto"/>
              <w:jc w:val="center"/>
            </w:pPr>
            <w:r>
              <w:t>/</w:t>
            </w:r>
          </w:p>
        </w:tc>
        <w:tc>
          <w:tcPr>
            <w:tcW w:w="1178" w:type="pct"/>
            <w:tcBorders>
              <w:top w:val="single" w:color="auto" w:sz="4" w:space="0"/>
              <w:left w:val="nil"/>
              <w:bottom w:val="single" w:color="auto" w:sz="4" w:space="0"/>
              <w:right w:val="single" w:color="auto" w:sz="4" w:space="0"/>
            </w:tcBorders>
            <w:vAlign w:val="center"/>
          </w:tcPr>
          <w:p w14:paraId="762355CB">
            <w:pPr>
              <w:spacing w:line="240" w:lineRule="auto"/>
              <w:jc w:val="center"/>
            </w:pPr>
            <w:r>
              <w:t>15</w:t>
            </w:r>
          </w:p>
        </w:tc>
        <w:tc>
          <w:tcPr>
            <w:tcW w:w="504" w:type="pct"/>
            <w:tcBorders>
              <w:top w:val="single" w:color="auto" w:sz="4" w:space="0"/>
              <w:left w:val="nil"/>
              <w:bottom w:val="single" w:color="auto" w:sz="4" w:space="0"/>
              <w:right w:val="single" w:color="auto" w:sz="4" w:space="0"/>
            </w:tcBorders>
            <w:vAlign w:val="center"/>
          </w:tcPr>
          <w:p w14:paraId="449F3EDD">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2C3B7057">
            <w:pPr>
              <w:spacing w:line="240" w:lineRule="auto"/>
              <w:jc w:val="center"/>
            </w:pPr>
            <w:r>
              <w:t>8.6</w:t>
            </w:r>
          </w:p>
        </w:tc>
        <w:tc>
          <w:tcPr>
            <w:tcW w:w="505" w:type="pct"/>
            <w:tcBorders>
              <w:top w:val="single" w:color="auto" w:sz="4" w:space="0"/>
              <w:left w:val="nil"/>
              <w:bottom w:val="single" w:color="auto" w:sz="4" w:space="0"/>
              <w:right w:val="single" w:color="auto" w:sz="4" w:space="0"/>
            </w:tcBorders>
            <w:vAlign w:val="center"/>
          </w:tcPr>
          <w:p w14:paraId="7F517B17">
            <w:pPr>
              <w:spacing w:line="240" w:lineRule="auto"/>
              <w:jc w:val="center"/>
            </w:pPr>
            <w:r>
              <w:t>9.6</w:t>
            </w:r>
          </w:p>
        </w:tc>
        <w:tc>
          <w:tcPr>
            <w:tcW w:w="506" w:type="pct"/>
            <w:tcBorders>
              <w:top w:val="single" w:color="auto" w:sz="4" w:space="0"/>
              <w:left w:val="nil"/>
              <w:bottom w:val="single" w:color="auto" w:sz="4" w:space="0"/>
              <w:right w:val="single" w:color="auto" w:sz="4" w:space="0"/>
            </w:tcBorders>
            <w:vAlign w:val="center"/>
          </w:tcPr>
          <w:p w14:paraId="73EC181D">
            <w:pPr>
              <w:spacing w:line="240" w:lineRule="auto"/>
              <w:jc w:val="center"/>
            </w:pPr>
            <w:r>
              <w:t>45.2</w:t>
            </w:r>
          </w:p>
        </w:tc>
        <w:tc>
          <w:tcPr>
            <w:tcW w:w="458" w:type="pct"/>
            <w:tcBorders>
              <w:top w:val="single" w:color="auto" w:sz="4" w:space="0"/>
              <w:left w:val="nil"/>
              <w:bottom w:val="single" w:color="auto" w:sz="4" w:space="0"/>
              <w:right w:val="single" w:color="auto" w:sz="4" w:space="0"/>
            </w:tcBorders>
            <w:vAlign w:val="center"/>
          </w:tcPr>
          <w:p w14:paraId="43660CFE">
            <w:pPr>
              <w:spacing w:line="240" w:lineRule="auto"/>
              <w:jc w:val="center"/>
            </w:pPr>
            <w:r>
              <w:t>54.3</w:t>
            </w:r>
          </w:p>
        </w:tc>
      </w:tr>
      <w:tr w14:paraId="64C46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4" w:type="pct"/>
            <w:tcBorders>
              <w:top w:val="single" w:color="auto" w:sz="4" w:space="0"/>
              <w:left w:val="single" w:color="auto" w:sz="4" w:space="0"/>
              <w:bottom w:val="single" w:color="auto" w:sz="4" w:space="0"/>
              <w:right w:val="single" w:color="auto" w:sz="4" w:space="0"/>
            </w:tcBorders>
            <w:vAlign w:val="center"/>
          </w:tcPr>
          <w:p w14:paraId="3F986B9B">
            <w:pPr>
              <w:spacing w:line="240" w:lineRule="auto"/>
              <w:jc w:val="center"/>
            </w:pPr>
            <w:r>
              <w:t>PFW3</w:t>
            </w:r>
          </w:p>
        </w:tc>
        <w:tc>
          <w:tcPr>
            <w:tcW w:w="421" w:type="pct"/>
            <w:tcBorders>
              <w:top w:val="single" w:color="auto" w:sz="4" w:space="0"/>
              <w:left w:val="nil"/>
              <w:bottom w:val="single" w:color="auto" w:sz="4" w:space="0"/>
              <w:right w:val="single" w:color="auto" w:sz="4" w:space="0"/>
            </w:tcBorders>
            <w:vAlign w:val="center"/>
          </w:tcPr>
          <w:p w14:paraId="5564F70B">
            <w:pPr>
              <w:spacing w:line="240" w:lineRule="auto"/>
              <w:jc w:val="center"/>
            </w:pPr>
            <w:r>
              <w:t>75</w:t>
            </w:r>
          </w:p>
        </w:tc>
        <w:tc>
          <w:tcPr>
            <w:tcW w:w="420" w:type="pct"/>
            <w:tcBorders>
              <w:top w:val="single" w:color="auto" w:sz="4" w:space="0"/>
              <w:left w:val="nil"/>
              <w:bottom w:val="single" w:color="auto" w:sz="4" w:space="0"/>
              <w:right w:val="single" w:color="auto" w:sz="4" w:space="0"/>
            </w:tcBorders>
            <w:vAlign w:val="center"/>
          </w:tcPr>
          <w:p w14:paraId="1D6643C1">
            <w:pPr>
              <w:spacing w:line="240" w:lineRule="auto"/>
              <w:jc w:val="center"/>
            </w:pPr>
            <w:r>
              <w:t>/</w:t>
            </w:r>
          </w:p>
        </w:tc>
        <w:tc>
          <w:tcPr>
            <w:tcW w:w="1178" w:type="pct"/>
            <w:tcBorders>
              <w:top w:val="single" w:color="auto" w:sz="4" w:space="0"/>
              <w:left w:val="nil"/>
              <w:bottom w:val="single" w:color="auto" w:sz="4" w:space="0"/>
              <w:right w:val="single" w:color="auto" w:sz="4" w:space="0"/>
            </w:tcBorders>
            <w:vAlign w:val="center"/>
          </w:tcPr>
          <w:p w14:paraId="77420605">
            <w:pPr>
              <w:spacing w:line="240" w:lineRule="auto"/>
              <w:jc w:val="center"/>
            </w:pPr>
            <w:r>
              <w:t>25</w:t>
            </w:r>
          </w:p>
        </w:tc>
        <w:tc>
          <w:tcPr>
            <w:tcW w:w="504" w:type="pct"/>
            <w:tcBorders>
              <w:top w:val="single" w:color="auto" w:sz="4" w:space="0"/>
              <w:left w:val="nil"/>
              <w:bottom w:val="single" w:color="auto" w:sz="4" w:space="0"/>
              <w:right w:val="single" w:color="auto" w:sz="4" w:space="0"/>
            </w:tcBorders>
            <w:vAlign w:val="center"/>
          </w:tcPr>
          <w:p w14:paraId="3AEDF5E3">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55FED9E8">
            <w:pPr>
              <w:spacing w:line="240" w:lineRule="auto"/>
              <w:jc w:val="center"/>
            </w:pPr>
            <w:r>
              <w:t>8.5</w:t>
            </w:r>
          </w:p>
        </w:tc>
        <w:tc>
          <w:tcPr>
            <w:tcW w:w="505" w:type="pct"/>
            <w:tcBorders>
              <w:top w:val="single" w:color="auto" w:sz="4" w:space="0"/>
              <w:left w:val="nil"/>
              <w:bottom w:val="single" w:color="auto" w:sz="4" w:space="0"/>
              <w:right w:val="single" w:color="auto" w:sz="4" w:space="0"/>
            </w:tcBorders>
            <w:vAlign w:val="center"/>
          </w:tcPr>
          <w:p w14:paraId="2CFA8E52">
            <w:pPr>
              <w:spacing w:line="240" w:lineRule="auto"/>
              <w:jc w:val="center"/>
            </w:pPr>
            <w:r>
              <w:t>9.6</w:t>
            </w:r>
          </w:p>
        </w:tc>
        <w:tc>
          <w:tcPr>
            <w:tcW w:w="506" w:type="pct"/>
            <w:tcBorders>
              <w:top w:val="single" w:color="auto" w:sz="4" w:space="0"/>
              <w:left w:val="nil"/>
              <w:bottom w:val="single" w:color="auto" w:sz="4" w:space="0"/>
              <w:right w:val="single" w:color="auto" w:sz="4" w:space="0"/>
            </w:tcBorders>
            <w:vAlign w:val="center"/>
          </w:tcPr>
          <w:p w14:paraId="2332AEFE">
            <w:pPr>
              <w:spacing w:line="240" w:lineRule="auto"/>
              <w:jc w:val="center"/>
            </w:pPr>
            <w:r>
              <w:t>43.1</w:t>
            </w:r>
          </w:p>
        </w:tc>
        <w:tc>
          <w:tcPr>
            <w:tcW w:w="458" w:type="pct"/>
            <w:tcBorders>
              <w:top w:val="single" w:color="auto" w:sz="4" w:space="0"/>
              <w:left w:val="nil"/>
              <w:bottom w:val="single" w:color="auto" w:sz="4" w:space="0"/>
              <w:right w:val="single" w:color="auto" w:sz="4" w:space="0"/>
            </w:tcBorders>
            <w:vAlign w:val="center"/>
          </w:tcPr>
          <w:p w14:paraId="6A6FF986">
            <w:pPr>
              <w:spacing w:line="240" w:lineRule="auto"/>
              <w:jc w:val="center"/>
            </w:pPr>
            <w:r>
              <w:t>51.2</w:t>
            </w:r>
          </w:p>
        </w:tc>
      </w:tr>
      <w:tr w14:paraId="427E7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4" w:type="pct"/>
            <w:tcBorders>
              <w:top w:val="single" w:color="auto" w:sz="4" w:space="0"/>
              <w:left w:val="single" w:color="auto" w:sz="4" w:space="0"/>
              <w:bottom w:val="single" w:color="auto" w:sz="4" w:space="0"/>
              <w:right w:val="single" w:color="auto" w:sz="4" w:space="0"/>
            </w:tcBorders>
            <w:vAlign w:val="center"/>
          </w:tcPr>
          <w:p w14:paraId="5E8F26F3">
            <w:pPr>
              <w:spacing w:line="240" w:lineRule="auto"/>
              <w:jc w:val="center"/>
            </w:pPr>
            <w:r>
              <w:t>PFW4</w:t>
            </w:r>
          </w:p>
        </w:tc>
        <w:tc>
          <w:tcPr>
            <w:tcW w:w="421" w:type="pct"/>
            <w:tcBorders>
              <w:top w:val="single" w:color="auto" w:sz="4" w:space="0"/>
              <w:left w:val="nil"/>
              <w:bottom w:val="single" w:color="auto" w:sz="4" w:space="0"/>
              <w:right w:val="single" w:color="auto" w:sz="4" w:space="0"/>
            </w:tcBorders>
            <w:vAlign w:val="center"/>
          </w:tcPr>
          <w:p w14:paraId="34D62BBE">
            <w:pPr>
              <w:spacing w:line="240" w:lineRule="auto"/>
              <w:jc w:val="center"/>
            </w:pPr>
            <w:r>
              <w:t>65</w:t>
            </w:r>
          </w:p>
        </w:tc>
        <w:tc>
          <w:tcPr>
            <w:tcW w:w="420" w:type="pct"/>
            <w:tcBorders>
              <w:top w:val="single" w:color="auto" w:sz="4" w:space="0"/>
              <w:left w:val="nil"/>
              <w:bottom w:val="single" w:color="auto" w:sz="4" w:space="0"/>
              <w:right w:val="single" w:color="auto" w:sz="4" w:space="0"/>
            </w:tcBorders>
            <w:vAlign w:val="center"/>
          </w:tcPr>
          <w:p w14:paraId="1758EE58">
            <w:pPr>
              <w:spacing w:line="240" w:lineRule="auto"/>
              <w:jc w:val="center"/>
            </w:pPr>
            <w:r>
              <w:t>/</w:t>
            </w:r>
          </w:p>
        </w:tc>
        <w:tc>
          <w:tcPr>
            <w:tcW w:w="1178" w:type="pct"/>
            <w:tcBorders>
              <w:top w:val="single" w:color="auto" w:sz="4" w:space="0"/>
              <w:left w:val="nil"/>
              <w:bottom w:val="single" w:color="auto" w:sz="4" w:space="0"/>
              <w:right w:val="single" w:color="auto" w:sz="4" w:space="0"/>
            </w:tcBorders>
            <w:vAlign w:val="center"/>
          </w:tcPr>
          <w:p w14:paraId="49BC6309">
            <w:pPr>
              <w:spacing w:line="240" w:lineRule="auto"/>
              <w:jc w:val="center"/>
            </w:pPr>
            <w:r>
              <w:t>35</w:t>
            </w:r>
          </w:p>
        </w:tc>
        <w:tc>
          <w:tcPr>
            <w:tcW w:w="504" w:type="pct"/>
            <w:tcBorders>
              <w:top w:val="single" w:color="auto" w:sz="4" w:space="0"/>
              <w:left w:val="nil"/>
              <w:bottom w:val="single" w:color="auto" w:sz="4" w:space="0"/>
              <w:right w:val="single" w:color="auto" w:sz="4" w:space="0"/>
            </w:tcBorders>
            <w:vAlign w:val="center"/>
          </w:tcPr>
          <w:p w14:paraId="5B302B88">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6202E363">
            <w:pPr>
              <w:spacing w:line="240" w:lineRule="auto"/>
              <w:jc w:val="center"/>
            </w:pPr>
            <w:r>
              <w:t>8.1</w:t>
            </w:r>
          </w:p>
        </w:tc>
        <w:tc>
          <w:tcPr>
            <w:tcW w:w="505" w:type="pct"/>
            <w:tcBorders>
              <w:top w:val="single" w:color="auto" w:sz="4" w:space="0"/>
              <w:left w:val="nil"/>
              <w:bottom w:val="single" w:color="auto" w:sz="4" w:space="0"/>
              <w:right w:val="single" w:color="auto" w:sz="4" w:space="0"/>
            </w:tcBorders>
            <w:vAlign w:val="center"/>
          </w:tcPr>
          <w:p w14:paraId="23DA24C8">
            <w:pPr>
              <w:spacing w:line="240" w:lineRule="auto"/>
              <w:jc w:val="center"/>
            </w:pPr>
            <w:r>
              <w:t>9.4</w:t>
            </w:r>
          </w:p>
        </w:tc>
        <w:tc>
          <w:tcPr>
            <w:tcW w:w="506" w:type="pct"/>
            <w:tcBorders>
              <w:top w:val="single" w:color="auto" w:sz="4" w:space="0"/>
              <w:left w:val="nil"/>
              <w:bottom w:val="single" w:color="auto" w:sz="4" w:space="0"/>
              <w:right w:val="single" w:color="auto" w:sz="4" w:space="0"/>
            </w:tcBorders>
            <w:vAlign w:val="center"/>
          </w:tcPr>
          <w:p w14:paraId="02C1E201">
            <w:pPr>
              <w:spacing w:line="240" w:lineRule="auto"/>
              <w:jc w:val="center"/>
            </w:pPr>
            <w:r>
              <w:t>37.4</w:t>
            </w:r>
          </w:p>
        </w:tc>
        <w:tc>
          <w:tcPr>
            <w:tcW w:w="458" w:type="pct"/>
            <w:tcBorders>
              <w:top w:val="single" w:color="auto" w:sz="4" w:space="0"/>
              <w:left w:val="nil"/>
              <w:bottom w:val="single" w:color="auto" w:sz="4" w:space="0"/>
              <w:right w:val="single" w:color="auto" w:sz="4" w:space="0"/>
            </w:tcBorders>
            <w:vAlign w:val="center"/>
          </w:tcPr>
          <w:p w14:paraId="6307EF91">
            <w:pPr>
              <w:spacing w:line="240" w:lineRule="auto"/>
              <w:jc w:val="center"/>
            </w:pPr>
            <w:r>
              <w:t>47.2</w:t>
            </w:r>
          </w:p>
        </w:tc>
      </w:tr>
      <w:tr w14:paraId="703B7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4" w:type="pct"/>
            <w:tcBorders>
              <w:top w:val="single" w:color="auto" w:sz="4" w:space="0"/>
              <w:left w:val="single" w:color="auto" w:sz="4" w:space="0"/>
              <w:bottom w:val="single" w:color="auto" w:sz="4" w:space="0"/>
              <w:right w:val="single" w:color="auto" w:sz="4" w:space="0"/>
            </w:tcBorders>
            <w:vAlign w:val="center"/>
          </w:tcPr>
          <w:p w14:paraId="08D43EEC">
            <w:pPr>
              <w:spacing w:line="240" w:lineRule="auto"/>
              <w:jc w:val="center"/>
            </w:pPr>
            <w:r>
              <w:t>PFⅠ1</w:t>
            </w:r>
          </w:p>
        </w:tc>
        <w:tc>
          <w:tcPr>
            <w:tcW w:w="421" w:type="pct"/>
            <w:tcBorders>
              <w:top w:val="single" w:color="auto" w:sz="4" w:space="0"/>
              <w:left w:val="nil"/>
              <w:bottom w:val="single" w:color="auto" w:sz="4" w:space="0"/>
              <w:right w:val="single" w:color="auto" w:sz="4" w:space="0"/>
            </w:tcBorders>
            <w:vAlign w:val="center"/>
          </w:tcPr>
          <w:p w14:paraId="517E938A">
            <w:pPr>
              <w:spacing w:line="240" w:lineRule="auto"/>
              <w:jc w:val="center"/>
            </w:pPr>
            <w:r>
              <w:t>95</w:t>
            </w:r>
          </w:p>
        </w:tc>
        <w:tc>
          <w:tcPr>
            <w:tcW w:w="420" w:type="pct"/>
            <w:tcBorders>
              <w:top w:val="single" w:color="auto" w:sz="4" w:space="0"/>
              <w:left w:val="nil"/>
              <w:bottom w:val="single" w:color="auto" w:sz="4" w:space="0"/>
              <w:right w:val="single" w:color="auto" w:sz="4" w:space="0"/>
            </w:tcBorders>
            <w:vAlign w:val="center"/>
          </w:tcPr>
          <w:p w14:paraId="7FEEEA9F">
            <w:pPr>
              <w:spacing w:line="240" w:lineRule="auto"/>
              <w:jc w:val="center"/>
            </w:pPr>
            <w:r>
              <w:t>/</w:t>
            </w:r>
          </w:p>
        </w:tc>
        <w:tc>
          <w:tcPr>
            <w:tcW w:w="1178" w:type="pct"/>
            <w:tcBorders>
              <w:top w:val="single" w:color="auto" w:sz="4" w:space="0"/>
              <w:left w:val="nil"/>
              <w:bottom w:val="single" w:color="auto" w:sz="4" w:space="0"/>
              <w:right w:val="single" w:color="auto" w:sz="4" w:space="0"/>
            </w:tcBorders>
            <w:vAlign w:val="center"/>
          </w:tcPr>
          <w:p w14:paraId="0BABDFA2">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5BAF05B8">
            <w:pPr>
              <w:spacing w:line="240" w:lineRule="auto"/>
              <w:jc w:val="center"/>
            </w:pPr>
            <w:r>
              <w:t>5</w:t>
            </w:r>
          </w:p>
        </w:tc>
        <w:tc>
          <w:tcPr>
            <w:tcW w:w="504" w:type="pct"/>
            <w:tcBorders>
              <w:top w:val="single" w:color="auto" w:sz="4" w:space="0"/>
              <w:left w:val="nil"/>
              <w:bottom w:val="single" w:color="auto" w:sz="4" w:space="0"/>
              <w:right w:val="single" w:color="auto" w:sz="4" w:space="0"/>
            </w:tcBorders>
            <w:vAlign w:val="center"/>
          </w:tcPr>
          <w:p w14:paraId="647B42B3">
            <w:pPr>
              <w:spacing w:line="240" w:lineRule="auto"/>
              <w:jc w:val="center"/>
            </w:pPr>
            <w:r>
              <w:t>8.8</w:t>
            </w:r>
          </w:p>
        </w:tc>
        <w:tc>
          <w:tcPr>
            <w:tcW w:w="505" w:type="pct"/>
            <w:tcBorders>
              <w:top w:val="single" w:color="auto" w:sz="4" w:space="0"/>
              <w:left w:val="nil"/>
              <w:bottom w:val="single" w:color="auto" w:sz="4" w:space="0"/>
              <w:right w:val="single" w:color="auto" w:sz="4" w:space="0"/>
            </w:tcBorders>
            <w:vAlign w:val="center"/>
          </w:tcPr>
          <w:p w14:paraId="67BACB94">
            <w:pPr>
              <w:spacing w:line="240" w:lineRule="auto"/>
              <w:jc w:val="center"/>
            </w:pPr>
            <w:r>
              <w:t>9.4</w:t>
            </w:r>
          </w:p>
        </w:tc>
        <w:tc>
          <w:tcPr>
            <w:tcW w:w="506" w:type="pct"/>
            <w:tcBorders>
              <w:top w:val="single" w:color="auto" w:sz="4" w:space="0"/>
              <w:left w:val="nil"/>
              <w:bottom w:val="single" w:color="auto" w:sz="4" w:space="0"/>
              <w:right w:val="single" w:color="auto" w:sz="4" w:space="0"/>
            </w:tcBorders>
            <w:vAlign w:val="center"/>
          </w:tcPr>
          <w:p w14:paraId="0420E4F4">
            <w:pPr>
              <w:spacing w:line="240" w:lineRule="auto"/>
              <w:jc w:val="center"/>
            </w:pPr>
            <w:r>
              <w:t>47.8</w:t>
            </w:r>
          </w:p>
        </w:tc>
        <w:tc>
          <w:tcPr>
            <w:tcW w:w="458" w:type="pct"/>
            <w:tcBorders>
              <w:top w:val="single" w:color="auto" w:sz="4" w:space="0"/>
              <w:left w:val="nil"/>
              <w:bottom w:val="single" w:color="auto" w:sz="4" w:space="0"/>
              <w:right w:val="single" w:color="auto" w:sz="4" w:space="0"/>
            </w:tcBorders>
            <w:vAlign w:val="center"/>
          </w:tcPr>
          <w:p w14:paraId="7CFC259A">
            <w:pPr>
              <w:spacing w:line="240" w:lineRule="auto"/>
              <w:jc w:val="center"/>
            </w:pPr>
            <w:r>
              <w:t>55.9</w:t>
            </w:r>
          </w:p>
        </w:tc>
      </w:tr>
      <w:tr w14:paraId="40B9B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4" w:type="pct"/>
            <w:tcBorders>
              <w:top w:val="single" w:color="auto" w:sz="4" w:space="0"/>
              <w:left w:val="single" w:color="auto" w:sz="4" w:space="0"/>
              <w:bottom w:val="single" w:color="auto" w:sz="4" w:space="0"/>
              <w:right w:val="single" w:color="auto" w:sz="4" w:space="0"/>
            </w:tcBorders>
            <w:vAlign w:val="center"/>
          </w:tcPr>
          <w:p w14:paraId="337616E6">
            <w:pPr>
              <w:spacing w:line="240" w:lineRule="auto"/>
              <w:jc w:val="center"/>
            </w:pPr>
            <w:r>
              <w:t>PFⅠ2</w:t>
            </w:r>
          </w:p>
        </w:tc>
        <w:tc>
          <w:tcPr>
            <w:tcW w:w="421" w:type="pct"/>
            <w:tcBorders>
              <w:top w:val="single" w:color="auto" w:sz="4" w:space="0"/>
              <w:left w:val="nil"/>
              <w:bottom w:val="single" w:color="auto" w:sz="4" w:space="0"/>
              <w:right w:val="single" w:color="auto" w:sz="4" w:space="0"/>
            </w:tcBorders>
            <w:vAlign w:val="center"/>
          </w:tcPr>
          <w:p w14:paraId="54594880">
            <w:pPr>
              <w:spacing w:line="240" w:lineRule="auto"/>
              <w:jc w:val="center"/>
            </w:pPr>
            <w:r>
              <w:t>85</w:t>
            </w:r>
          </w:p>
        </w:tc>
        <w:tc>
          <w:tcPr>
            <w:tcW w:w="420" w:type="pct"/>
            <w:tcBorders>
              <w:top w:val="single" w:color="auto" w:sz="4" w:space="0"/>
              <w:left w:val="nil"/>
              <w:bottom w:val="single" w:color="auto" w:sz="4" w:space="0"/>
              <w:right w:val="single" w:color="auto" w:sz="4" w:space="0"/>
            </w:tcBorders>
            <w:vAlign w:val="center"/>
          </w:tcPr>
          <w:p w14:paraId="003F3344">
            <w:pPr>
              <w:spacing w:line="240" w:lineRule="auto"/>
              <w:jc w:val="center"/>
            </w:pPr>
            <w:r>
              <w:t>/</w:t>
            </w:r>
          </w:p>
        </w:tc>
        <w:tc>
          <w:tcPr>
            <w:tcW w:w="1178" w:type="pct"/>
            <w:tcBorders>
              <w:top w:val="single" w:color="auto" w:sz="4" w:space="0"/>
              <w:left w:val="nil"/>
              <w:bottom w:val="single" w:color="auto" w:sz="4" w:space="0"/>
              <w:right w:val="single" w:color="auto" w:sz="4" w:space="0"/>
            </w:tcBorders>
            <w:vAlign w:val="center"/>
          </w:tcPr>
          <w:p w14:paraId="139E663D">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3EC4DDEC">
            <w:pPr>
              <w:spacing w:line="240" w:lineRule="auto"/>
              <w:jc w:val="center"/>
            </w:pPr>
            <w:r>
              <w:t>15</w:t>
            </w:r>
          </w:p>
        </w:tc>
        <w:tc>
          <w:tcPr>
            <w:tcW w:w="504" w:type="pct"/>
            <w:tcBorders>
              <w:top w:val="single" w:color="auto" w:sz="4" w:space="0"/>
              <w:left w:val="nil"/>
              <w:bottom w:val="single" w:color="auto" w:sz="4" w:space="0"/>
              <w:right w:val="single" w:color="auto" w:sz="4" w:space="0"/>
            </w:tcBorders>
            <w:vAlign w:val="center"/>
          </w:tcPr>
          <w:p w14:paraId="21826B94">
            <w:pPr>
              <w:spacing w:line="240" w:lineRule="auto"/>
              <w:jc w:val="center"/>
            </w:pPr>
            <w:r>
              <w:t>8.5</w:t>
            </w:r>
          </w:p>
        </w:tc>
        <w:tc>
          <w:tcPr>
            <w:tcW w:w="505" w:type="pct"/>
            <w:tcBorders>
              <w:top w:val="single" w:color="auto" w:sz="4" w:space="0"/>
              <w:left w:val="nil"/>
              <w:bottom w:val="single" w:color="auto" w:sz="4" w:space="0"/>
              <w:right w:val="single" w:color="auto" w:sz="4" w:space="0"/>
            </w:tcBorders>
            <w:vAlign w:val="center"/>
          </w:tcPr>
          <w:p w14:paraId="2365C557">
            <w:pPr>
              <w:spacing w:line="240" w:lineRule="auto"/>
              <w:jc w:val="center"/>
            </w:pPr>
            <w:r>
              <w:t>9.1</w:t>
            </w:r>
          </w:p>
        </w:tc>
        <w:tc>
          <w:tcPr>
            <w:tcW w:w="506" w:type="pct"/>
            <w:tcBorders>
              <w:top w:val="single" w:color="auto" w:sz="4" w:space="0"/>
              <w:left w:val="nil"/>
              <w:bottom w:val="single" w:color="auto" w:sz="4" w:space="0"/>
              <w:right w:val="single" w:color="auto" w:sz="4" w:space="0"/>
            </w:tcBorders>
            <w:vAlign w:val="center"/>
          </w:tcPr>
          <w:p w14:paraId="12505367">
            <w:pPr>
              <w:spacing w:line="240" w:lineRule="auto"/>
              <w:jc w:val="center"/>
            </w:pPr>
            <w:r>
              <w:t>45.7</w:t>
            </w:r>
          </w:p>
        </w:tc>
        <w:tc>
          <w:tcPr>
            <w:tcW w:w="458" w:type="pct"/>
            <w:tcBorders>
              <w:top w:val="single" w:color="auto" w:sz="4" w:space="0"/>
              <w:left w:val="nil"/>
              <w:bottom w:val="single" w:color="auto" w:sz="4" w:space="0"/>
              <w:right w:val="single" w:color="auto" w:sz="4" w:space="0"/>
            </w:tcBorders>
            <w:vAlign w:val="center"/>
          </w:tcPr>
          <w:p w14:paraId="2E9C641F">
            <w:pPr>
              <w:spacing w:line="240" w:lineRule="auto"/>
              <w:jc w:val="center"/>
            </w:pPr>
            <w:r>
              <w:t>53.4</w:t>
            </w:r>
          </w:p>
        </w:tc>
      </w:tr>
      <w:tr w14:paraId="222A9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4" w:type="pct"/>
            <w:tcBorders>
              <w:top w:val="single" w:color="auto" w:sz="4" w:space="0"/>
              <w:left w:val="single" w:color="auto" w:sz="4" w:space="0"/>
              <w:bottom w:val="single" w:color="auto" w:sz="4" w:space="0"/>
              <w:right w:val="single" w:color="auto" w:sz="4" w:space="0"/>
            </w:tcBorders>
            <w:vAlign w:val="center"/>
          </w:tcPr>
          <w:p w14:paraId="30386868">
            <w:pPr>
              <w:spacing w:line="240" w:lineRule="auto"/>
              <w:jc w:val="center"/>
            </w:pPr>
            <w:r>
              <w:t>PFⅠ3</w:t>
            </w:r>
          </w:p>
        </w:tc>
        <w:tc>
          <w:tcPr>
            <w:tcW w:w="421" w:type="pct"/>
            <w:tcBorders>
              <w:top w:val="single" w:color="auto" w:sz="4" w:space="0"/>
              <w:left w:val="nil"/>
              <w:bottom w:val="single" w:color="auto" w:sz="4" w:space="0"/>
              <w:right w:val="single" w:color="auto" w:sz="4" w:space="0"/>
            </w:tcBorders>
            <w:vAlign w:val="center"/>
          </w:tcPr>
          <w:p w14:paraId="7F0A3C0A">
            <w:pPr>
              <w:spacing w:line="240" w:lineRule="auto"/>
              <w:jc w:val="center"/>
            </w:pPr>
            <w:r>
              <w:t>75</w:t>
            </w:r>
          </w:p>
        </w:tc>
        <w:tc>
          <w:tcPr>
            <w:tcW w:w="420" w:type="pct"/>
            <w:tcBorders>
              <w:top w:val="single" w:color="auto" w:sz="4" w:space="0"/>
              <w:left w:val="nil"/>
              <w:bottom w:val="single" w:color="auto" w:sz="4" w:space="0"/>
              <w:right w:val="single" w:color="auto" w:sz="4" w:space="0"/>
            </w:tcBorders>
            <w:vAlign w:val="center"/>
          </w:tcPr>
          <w:p w14:paraId="46AE38CE">
            <w:pPr>
              <w:spacing w:line="240" w:lineRule="auto"/>
              <w:jc w:val="center"/>
            </w:pPr>
            <w:r>
              <w:t>/</w:t>
            </w:r>
          </w:p>
        </w:tc>
        <w:tc>
          <w:tcPr>
            <w:tcW w:w="1178" w:type="pct"/>
            <w:tcBorders>
              <w:top w:val="single" w:color="auto" w:sz="4" w:space="0"/>
              <w:left w:val="nil"/>
              <w:bottom w:val="single" w:color="auto" w:sz="4" w:space="0"/>
              <w:right w:val="single" w:color="auto" w:sz="4" w:space="0"/>
            </w:tcBorders>
            <w:vAlign w:val="center"/>
          </w:tcPr>
          <w:p w14:paraId="24C60357">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5B7AE58A">
            <w:pPr>
              <w:spacing w:line="240" w:lineRule="auto"/>
              <w:jc w:val="center"/>
            </w:pPr>
            <w:r>
              <w:t>25</w:t>
            </w:r>
          </w:p>
        </w:tc>
        <w:tc>
          <w:tcPr>
            <w:tcW w:w="504" w:type="pct"/>
            <w:tcBorders>
              <w:top w:val="single" w:color="auto" w:sz="4" w:space="0"/>
              <w:left w:val="nil"/>
              <w:bottom w:val="single" w:color="auto" w:sz="4" w:space="0"/>
              <w:right w:val="single" w:color="auto" w:sz="4" w:space="0"/>
            </w:tcBorders>
            <w:vAlign w:val="center"/>
          </w:tcPr>
          <w:p w14:paraId="14C4BD2C">
            <w:pPr>
              <w:spacing w:line="240" w:lineRule="auto"/>
              <w:jc w:val="center"/>
            </w:pPr>
            <w:r>
              <w:t>8.2</w:t>
            </w:r>
          </w:p>
        </w:tc>
        <w:tc>
          <w:tcPr>
            <w:tcW w:w="505" w:type="pct"/>
            <w:tcBorders>
              <w:top w:val="single" w:color="auto" w:sz="4" w:space="0"/>
              <w:left w:val="nil"/>
              <w:bottom w:val="single" w:color="auto" w:sz="4" w:space="0"/>
              <w:right w:val="single" w:color="auto" w:sz="4" w:space="0"/>
            </w:tcBorders>
            <w:vAlign w:val="center"/>
          </w:tcPr>
          <w:p w14:paraId="5A99F2E3">
            <w:pPr>
              <w:spacing w:line="240" w:lineRule="auto"/>
              <w:jc w:val="center"/>
            </w:pPr>
            <w:r>
              <w:t>8.8</w:t>
            </w:r>
          </w:p>
        </w:tc>
        <w:tc>
          <w:tcPr>
            <w:tcW w:w="506" w:type="pct"/>
            <w:tcBorders>
              <w:top w:val="single" w:color="auto" w:sz="4" w:space="0"/>
              <w:left w:val="nil"/>
              <w:bottom w:val="single" w:color="auto" w:sz="4" w:space="0"/>
              <w:right w:val="single" w:color="auto" w:sz="4" w:space="0"/>
            </w:tcBorders>
            <w:vAlign w:val="center"/>
          </w:tcPr>
          <w:p w14:paraId="5F07C741">
            <w:pPr>
              <w:spacing w:line="240" w:lineRule="auto"/>
              <w:jc w:val="center"/>
            </w:pPr>
            <w:r>
              <w:t>38.8</w:t>
            </w:r>
          </w:p>
        </w:tc>
        <w:tc>
          <w:tcPr>
            <w:tcW w:w="458" w:type="pct"/>
            <w:tcBorders>
              <w:top w:val="single" w:color="auto" w:sz="4" w:space="0"/>
              <w:left w:val="nil"/>
              <w:bottom w:val="single" w:color="auto" w:sz="4" w:space="0"/>
              <w:right w:val="single" w:color="auto" w:sz="4" w:space="0"/>
            </w:tcBorders>
            <w:vAlign w:val="center"/>
          </w:tcPr>
          <w:p w14:paraId="4873EBD1">
            <w:pPr>
              <w:spacing w:line="240" w:lineRule="auto"/>
              <w:jc w:val="center"/>
            </w:pPr>
            <w:r>
              <w:t>50.1</w:t>
            </w:r>
          </w:p>
        </w:tc>
      </w:tr>
      <w:tr w14:paraId="5C2C5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4" w:type="pct"/>
            <w:tcBorders>
              <w:top w:val="single" w:color="auto" w:sz="4" w:space="0"/>
              <w:left w:val="single" w:color="auto" w:sz="4" w:space="0"/>
              <w:bottom w:val="single" w:color="auto" w:sz="4" w:space="0"/>
              <w:right w:val="single" w:color="auto" w:sz="4" w:space="0"/>
            </w:tcBorders>
            <w:vAlign w:val="center"/>
          </w:tcPr>
          <w:p w14:paraId="57EEB249">
            <w:pPr>
              <w:spacing w:line="240" w:lineRule="auto"/>
              <w:jc w:val="center"/>
            </w:pPr>
            <w:r>
              <w:t>PFⅠ4</w:t>
            </w:r>
          </w:p>
        </w:tc>
        <w:tc>
          <w:tcPr>
            <w:tcW w:w="421" w:type="pct"/>
            <w:tcBorders>
              <w:top w:val="single" w:color="auto" w:sz="4" w:space="0"/>
              <w:left w:val="nil"/>
              <w:bottom w:val="single" w:color="auto" w:sz="4" w:space="0"/>
              <w:right w:val="single" w:color="auto" w:sz="4" w:space="0"/>
            </w:tcBorders>
            <w:vAlign w:val="center"/>
          </w:tcPr>
          <w:p w14:paraId="7B3A7135">
            <w:pPr>
              <w:spacing w:line="240" w:lineRule="auto"/>
              <w:jc w:val="center"/>
            </w:pPr>
            <w:r>
              <w:t>65</w:t>
            </w:r>
          </w:p>
        </w:tc>
        <w:tc>
          <w:tcPr>
            <w:tcW w:w="420" w:type="pct"/>
            <w:tcBorders>
              <w:top w:val="single" w:color="auto" w:sz="4" w:space="0"/>
              <w:left w:val="nil"/>
              <w:bottom w:val="single" w:color="auto" w:sz="4" w:space="0"/>
              <w:right w:val="single" w:color="auto" w:sz="4" w:space="0"/>
            </w:tcBorders>
            <w:vAlign w:val="center"/>
          </w:tcPr>
          <w:p w14:paraId="0C160487">
            <w:pPr>
              <w:spacing w:line="240" w:lineRule="auto"/>
              <w:jc w:val="center"/>
            </w:pPr>
            <w:r>
              <w:t>/</w:t>
            </w:r>
          </w:p>
        </w:tc>
        <w:tc>
          <w:tcPr>
            <w:tcW w:w="1178" w:type="pct"/>
            <w:tcBorders>
              <w:top w:val="single" w:color="auto" w:sz="4" w:space="0"/>
              <w:left w:val="nil"/>
              <w:bottom w:val="single" w:color="auto" w:sz="4" w:space="0"/>
              <w:right w:val="single" w:color="auto" w:sz="4" w:space="0"/>
            </w:tcBorders>
            <w:vAlign w:val="center"/>
          </w:tcPr>
          <w:p w14:paraId="43B875B3">
            <w:pPr>
              <w:spacing w:line="240" w:lineRule="auto"/>
              <w:jc w:val="center"/>
            </w:pPr>
            <w:r>
              <w:t>/</w:t>
            </w:r>
          </w:p>
        </w:tc>
        <w:tc>
          <w:tcPr>
            <w:tcW w:w="504" w:type="pct"/>
            <w:tcBorders>
              <w:top w:val="single" w:color="auto" w:sz="4" w:space="0"/>
              <w:left w:val="nil"/>
              <w:bottom w:val="single" w:color="auto" w:sz="4" w:space="0"/>
              <w:right w:val="single" w:color="auto" w:sz="4" w:space="0"/>
            </w:tcBorders>
            <w:vAlign w:val="center"/>
          </w:tcPr>
          <w:p w14:paraId="168838E2">
            <w:pPr>
              <w:spacing w:line="240" w:lineRule="auto"/>
              <w:jc w:val="center"/>
            </w:pPr>
            <w:r>
              <w:t>35</w:t>
            </w:r>
          </w:p>
        </w:tc>
        <w:tc>
          <w:tcPr>
            <w:tcW w:w="504" w:type="pct"/>
            <w:tcBorders>
              <w:top w:val="single" w:color="auto" w:sz="4" w:space="0"/>
              <w:left w:val="nil"/>
              <w:bottom w:val="single" w:color="auto" w:sz="4" w:space="0"/>
              <w:right w:val="single" w:color="auto" w:sz="4" w:space="0"/>
            </w:tcBorders>
            <w:vAlign w:val="center"/>
          </w:tcPr>
          <w:p w14:paraId="02FAFC50">
            <w:pPr>
              <w:spacing w:line="240" w:lineRule="auto"/>
              <w:jc w:val="center"/>
            </w:pPr>
            <w:r>
              <w:t>7.9</w:t>
            </w:r>
          </w:p>
        </w:tc>
        <w:tc>
          <w:tcPr>
            <w:tcW w:w="505" w:type="pct"/>
            <w:tcBorders>
              <w:top w:val="single" w:color="auto" w:sz="4" w:space="0"/>
              <w:left w:val="nil"/>
              <w:bottom w:val="single" w:color="auto" w:sz="4" w:space="0"/>
              <w:right w:val="single" w:color="auto" w:sz="4" w:space="0"/>
            </w:tcBorders>
            <w:vAlign w:val="center"/>
          </w:tcPr>
          <w:p w14:paraId="71AE441A">
            <w:pPr>
              <w:spacing w:line="240" w:lineRule="auto"/>
              <w:jc w:val="center"/>
            </w:pPr>
            <w:r>
              <w:t>8.5</w:t>
            </w:r>
          </w:p>
        </w:tc>
        <w:tc>
          <w:tcPr>
            <w:tcW w:w="506" w:type="pct"/>
            <w:tcBorders>
              <w:top w:val="single" w:color="auto" w:sz="4" w:space="0"/>
              <w:left w:val="nil"/>
              <w:bottom w:val="single" w:color="auto" w:sz="4" w:space="0"/>
              <w:right w:val="single" w:color="auto" w:sz="4" w:space="0"/>
            </w:tcBorders>
            <w:vAlign w:val="center"/>
          </w:tcPr>
          <w:p w14:paraId="45779EBF">
            <w:pPr>
              <w:spacing w:line="240" w:lineRule="auto"/>
              <w:jc w:val="center"/>
            </w:pPr>
            <w:r>
              <w:t>34.8</w:t>
            </w:r>
          </w:p>
        </w:tc>
        <w:tc>
          <w:tcPr>
            <w:tcW w:w="458" w:type="pct"/>
            <w:tcBorders>
              <w:top w:val="single" w:color="auto" w:sz="4" w:space="0"/>
              <w:left w:val="nil"/>
              <w:bottom w:val="single" w:color="auto" w:sz="4" w:space="0"/>
              <w:right w:val="single" w:color="auto" w:sz="4" w:space="0"/>
            </w:tcBorders>
            <w:vAlign w:val="center"/>
          </w:tcPr>
          <w:p w14:paraId="1911D530">
            <w:pPr>
              <w:spacing w:line="240" w:lineRule="auto"/>
              <w:jc w:val="center"/>
            </w:pPr>
            <w:r>
              <w:t>43.1</w:t>
            </w:r>
          </w:p>
        </w:tc>
      </w:tr>
    </w:tbl>
    <w:p w14:paraId="2C153611">
      <w:pPr>
        <w:ind w:firstLine="480" w:firstLineChars="200"/>
        <w:jc w:val="center"/>
      </w:pPr>
      <w:r>
        <w:drawing>
          <wp:inline distT="0" distB="0" distL="0" distR="0">
            <wp:extent cx="3034665" cy="2303780"/>
            <wp:effectExtent l="0" t="0" r="0" b="1270"/>
            <wp:docPr id="184705625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056250" name="图片 2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034792" cy="2304000"/>
                    </a:xfrm>
                    <a:prstGeom prst="rect">
                      <a:avLst/>
                    </a:prstGeom>
                    <a:noFill/>
                    <a:ln>
                      <a:noFill/>
                    </a:ln>
                  </pic:spPr>
                </pic:pic>
              </a:graphicData>
            </a:graphic>
          </wp:inline>
        </w:drawing>
      </w:r>
      <w:r>
        <w:t xml:space="preserve"> </w:t>
      </w:r>
    </w:p>
    <w:p w14:paraId="44C7EC90">
      <w:pPr>
        <w:ind w:firstLine="480" w:firstLineChars="200"/>
        <w:jc w:val="center"/>
      </w:pPr>
      <w:bookmarkStart w:id="19" w:name="_Ref230720687"/>
      <w:r>
        <w:rPr>
          <w:rFonts w:hint="eastAsia"/>
          <w:color w:val="000000"/>
        </w:rPr>
        <w:t>图</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7</w:t>
      </w:r>
      <w:r>
        <w:rPr>
          <w:color w:val="000000"/>
        </w:rPr>
        <w:fldChar w:fldCharType="end"/>
      </w:r>
      <w:bookmarkEnd w:id="19"/>
      <w:r>
        <w:rPr>
          <w:rFonts w:hint="eastAsia"/>
          <w:color w:val="000000"/>
        </w:rPr>
        <w:t xml:space="preserve"> </w:t>
      </w:r>
      <w:r>
        <w:t>粉煤灰对水泥28天强度影响</w:t>
      </w:r>
    </w:p>
    <w:p w14:paraId="44CB279B">
      <w:pPr>
        <w:ind w:firstLine="480" w:firstLineChars="200"/>
      </w:pPr>
      <w:r>
        <w:fldChar w:fldCharType="begin"/>
      </w:r>
      <w:r>
        <w:instrText xml:space="preserve"> REF _Ref230720687 \h  \* MERGEFORMAT </w:instrText>
      </w:r>
      <w:r>
        <w:fldChar w:fldCharType="separate"/>
      </w:r>
      <w:r>
        <w:rPr>
          <w:rFonts w:hint="eastAsia"/>
          <w:color w:val="000000"/>
        </w:rPr>
        <w:t>图</w:t>
      </w:r>
      <w:r>
        <w:rPr>
          <w:color w:val="000000"/>
        </w:rPr>
        <w:t>7</w:t>
      </w:r>
      <w:r>
        <w:fldChar w:fldCharType="end"/>
      </w:r>
      <w:r>
        <w:t>可以看出随着粉煤灰掺量的增加，三种灰的28天强度都呈下降趋势，但经过研磨后的物理改性粉煤灰相对其它两种灰强度降幅较小。当水灰比在0.45时，试验用水量减少，但强度相对水灰比0.5更接近比对水泥。各种粉煤灰掺量在5%时，其水泥强度变化不大，掺物理粉煤灰的强度还略高于比对水泥，但随着粉煤灰掺量的增加，水泥强度下降。当物理改性粉煤灰掺量</w:t>
      </w:r>
      <w:r>
        <w:rPr>
          <w:rFonts w:hint="eastAsia"/>
        </w:rPr>
        <w:t>30</w:t>
      </w:r>
      <w:r>
        <w:t>%时，</w:t>
      </w:r>
      <w:r>
        <w:rPr>
          <w:rFonts w:hint="eastAsia"/>
        </w:rPr>
        <w:t>可达到42.5水泥强度等级，而原灰和I级灰达不到42.5水泥强度等级要求。</w:t>
      </w:r>
      <w:r>
        <w:t>通过掺物理改性粉煤的水泥3天、28天强度对比，随着其强度期龄的增加，活性指数越来越接近比对水泥。</w:t>
      </w:r>
    </w:p>
    <w:p w14:paraId="7F13F79B">
      <w:pPr>
        <w:pStyle w:val="37"/>
        <w:numPr>
          <w:ilvl w:val="2"/>
          <w:numId w:val="2"/>
        </w:numPr>
        <w:ind w:firstLine="482" w:firstLineChars="200"/>
        <w:outlineLvl w:val="2"/>
        <w:rPr>
          <w:b/>
          <w:bCs/>
        </w:rPr>
      </w:pPr>
      <w:r>
        <w:rPr>
          <w:rFonts w:hint="eastAsia"/>
          <w:b/>
          <w:bCs/>
        </w:rPr>
        <w:t>物理改性</w:t>
      </w:r>
      <w:r>
        <w:rPr>
          <w:b/>
          <w:bCs/>
        </w:rPr>
        <w:t>粉煤灰在</w:t>
      </w:r>
      <w:r>
        <w:rPr>
          <w:rFonts w:hint="eastAsia"/>
          <w:b/>
          <w:bCs/>
        </w:rPr>
        <w:t>混凝土</w:t>
      </w:r>
      <w:r>
        <w:rPr>
          <w:b/>
          <w:bCs/>
        </w:rPr>
        <w:t>中的应用研究</w:t>
      </w:r>
    </w:p>
    <w:p w14:paraId="564D8DE5">
      <w:pPr>
        <w:pStyle w:val="37"/>
        <w:numPr>
          <w:ilvl w:val="3"/>
          <w:numId w:val="2"/>
        </w:numPr>
        <w:ind w:firstLine="482" w:firstLineChars="200"/>
        <w:outlineLvl w:val="3"/>
        <w:rPr>
          <w:b/>
          <w:bCs/>
        </w:rPr>
      </w:pPr>
      <w:r>
        <w:rPr>
          <w:rFonts w:hint="eastAsia"/>
          <w:b/>
          <w:bCs/>
        </w:rPr>
        <w:t>配合比设计</w:t>
      </w:r>
    </w:p>
    <w:p w14:paraId="78496DC5">
      <w:pPr>
        <w:ind w:firstLine="480" w:firstLineChars="200"/>
      </w:pPr>
      <w:r>
        <w:rPr>
          <w:rFonts w:hint="eastAsia" w:cs="宋体"/>
        </w:rPr>
        <w:t>选取福能新材（泉州）物理改性粉煤灰中试生产线编号为</w:t>
      </w:r>
      <w:r>
        <w:t>QZ2</w:t>
      </w:r>
      <w:r>
        <w:rPr>
          <w:rFonts w:hint="eastAsia" w:cs="宋体"/>
        </w:rPr>
        <w:t>原灰，进行研磨整形得到物理改性粉煤灰，分别比较原灰、物理改性粉煤灰和</w:t>
      </w:r>
      <w:r>
        <w:t>Ⅱ</w:t>
      </w:r>
      <w:r>
        <w:rPr>
          <w:rFonts w:hint="eastAsia" w:cs="宋体"/>
        </w:rPr>
        <w:t>级粉煤灰在不同标号不同粉煤灰掺量情况下（分别为</w:t>
      </w:r>
      <w:r>
        <w:t>10%</w:t>
      </w:r>
      <w:r>
        <w:rPr>
          <w:rFonts w:hint="eastAsia" w:cs="宋体"/>
        </w:rPr>
        <w:t>、</w:t>
      </w:r>
      <w:r>
        <w:t>20%</w:t>
      </w:r>
      <w:r>
        <w:rPr>
          <w:rFonts w:hint="eastAsia" w:cs="宋体"/>
        </w:rPr>
        <w:t>、</w:t>
      </w:r>
      <w:r>
        <w:t>30%</w:t>
      </w:r>
      <w:r>
        <w:rPr>
          <w:rFonts w:hint="eastAsia" w:cs="宋体"/>
        </w:rPr>
        <w:t>、</w:t>
      </w:r>
      <w:r>
        <w:t>40%</w:t>
      </w:r>
      <w:r>
        <w:rPr>
          <w:rFonts w:hint="eastAsia" w:cs="宋体"/>
        </w:rPr>
        <w:t>、</w:t>
      </w:r>
      <w:r>
        <w:t>50%</w:t>
      </w:r>
      <w:r>
        <w:rPr>
          <w:rFonts w:hint="eastAsia" w:cs="宋体"/>
        </w:rPr>
        <w:t>）对不同混凝土标号（</w:t>
      </w:r>
      <w:r>
        <w:t>C30</w:t>
      </w:r>
      <w:r>
        <w:rPr>
          <w:rFonts w:hint="eastAsia" w:cs="宋体"/>
        </w:rPr>
        <w:t>、</w:t>
      </w:r>
      <w:r>
        <w:t>C45</w:t>
      </w:r>
      <w:r>
        <w:rPr>
          <w:rFonts w:hint="eastAsia" w:cs="宋体"/>
        </w:rPr>
        <w:t>）性能的影响，配合比设计见</w:t>
      </w:r>
      <w:r>
        <w:rPr>
          <w:rFonts w:hint="eastAsia" w:cs="宋体"/>
        </w:rPr>
        <w:fldChar w:fldCharType="begin"/>
      </w:r>
      <w:r>
        <w:rPr>
          <w:rFonts w:hint="eastAsia" w:cs="宋体"/>
        </w:rPr>
        <w:instrText xml:space="preserve"> REF _Ref230721499 \h </w:instrText>
      </w:r>
      <w:r>
        <w:rPr>
          <w:rFonts w:cs="宋体"/>
        </w:rPr>
        <w:instrText xml:space="preserve"> \* MERGEFORMAT </w:instrText>
      </w:r>
      <w:r>
        <w:rPr>
          <w:rFonts w:hint="eastAsia" w:cs="宋体"/>
        </w:rPr>
        <w:fldChar w:fldCharType="separate"/>
      </w:r>
      <w:r>
        <w:rPr>
          <w:rFonts w:hint="eastAsia"/>
        </w:rPr>
        <w:t>表</w:t>
      </w:r>
      <w:r>
        <w:t>13</w:t>
      </w:r>
      <w:r>
        <w:rPr>
          <w:rFonts w:hint="eastAsia" w:cs="宋体"/>
        </w:rPr>
        <w:fldChar w:fldCharType="end"/>
      </w:r>
      <w:r>
        <w:rPr>
          <w:rFonts w:hint="eastAsia" w:cs="宋体"/>
        </w:rPr>
        <w:t>。</w:t>
      </w:r>
    </w:p>
    <w:p w14:paraId="4D2D2545">
      <w:pPr>
        <w:rPr>
          <w:rFonts w:hint="eastAsia"/>
        </w:rPr>
      </w:pPr>
      <w:bookmarkStart w:id="20" w:name="_Ref230721499"/>
      <w:r>
        <w:rPr>
          <w:rFonts w:hint="eastAsia"/>
        </w:rPr>
        <w:br w:type="page"/>
      </w:r>
    </w:p>
    <w:p w14:paraId="340507C4">
      <w:pPr>
        <w:autoSpaceDE w:val="0"/>
        <w:jc w:val="center"/>
        <w:rPr>
          <w:sz w:val="21"/>
          <w:szCs w:val="21"/>
        </w:rPr>
      </w:pPr>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13</w:t>
      </w:r>
      <w:r>
        <w:fldChar w:fldCharType="end"/>
      </w:r>
      <w:bookmarkEnd w:id="20"/>
      <w:r>
        <w:rPr>
          <w:rFonts w:hint="eastAsia"/>
        </w:rPr>
        <w:t xml:space="preserve"> </w:t>
      </w:r>
      <w:r>
        <w:rPr>
          <w:rFonts w:hint="eastAsia" w:cs="宋体"/>
        </w:rPr>
        <w:t>混凝土配合比</w:t>
      </w:r>
    </w:p>
    <w:tbl>
      <w:tblPr>
        <w:tblStyle w:val="4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10"/>
        <w:gridCol w:w="610"/>
        <w:gridCol w:w="1509"/>
        <w:gridCol w:w="860"/>
        <w:gridCol w:w="461"/>
        <w:gridCol w:w="610"/>
        <w:gridCol w:w="910"/>
        <w:gridCol w:w="910"/>
        <w:gridCol w:w="461"/>
        <w:gridCol w:w="462"/>
        <w:gridCol w:w="913"/>
      </w:tblGrid>
      <w:tr w14:paraId="4D4EC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trPr>
        <w:tc>
          <w:tcPr>
            <w:tcW w:w="367" w:type="pct"/>
            <w:vMerge w:val="restart"/>
            <w:tcBorders>
              <w:top w:val="single" w:color="auto" w:sz="4" w:space="0"/>
              <w:left w:val="single" w:color="auto" w:sz="4" w:space="0"/>
              <w:bottom w:val="single" w:color="auto" w:sz="4" w:space="0"/>
              <w:right w:val="single" w:color="auto" w:sz="4" w:space="0"/>
            </w:tcBorders>
            <w:vAlign w:val="center"/>
          </w:tcPr>
          <w:p w14:paraId="4007C4F1">
            <w:pPr>
              <w:autoSpaceDE w:val="0"/>
              <w:spacing w:line="240" w:lineRule="auto"/>
              <w:jc w:val="center"/>
              <w:rPr>
                <w:kern w:val="0"/>
              </w:rPr>
            </w:pPr>
            <w:r>
              <w:rPr>
                <w:rFonts w:hint="eastAsia" w:cs="宋体"/>
                <w:kern w:val="0"/>
              </w:rPr>
              <w:t>序号</w:t>
            </w:r>
          </w:p>
        </w:tc>
        <w:tc>
          <w:tcPr>
            <w:tcW w:w="367" w:type="pct"/>
            <w:vMerge w:val="restart"/>
            <w:tcBorders>
              <w:top w:val="single" w:color="auto" w:sz="4" w:space="0"/>
              <w:left w:val="single" w:color="auto" w:sz="4" w:space="0"/>
              <w:bottom w:val="single" w:color="auto" w:sz="4" w:space="0"/>
              <w:right w:val="single" w:color="auto" w:sz="4" w:space="0"/>
            </w:tcBorders>
            <w:vAlign w:val="center"/>
          </w:tcPr>
          <w:p w14:paraId="051B2A1F">
            <w:pPr>
              <w:autoSpaceDE w:val="0"/>
              <w:spacing w:line="240" w:lineRule="auto"/>
              <w:jc w:val="center"/>
              <w:rPr>
                <w:kern w:val="0"/>
              </w:rPr>
            </w:pPr>
            <w:r>
              <w:rPr>
                <w:rFonts w:hint="eastAsia" w:cs="宋体"/>
                <w:kern w:val="0"/>
              </w:rPr>
              <w:t>标号</w:t>
            </w:r>
          </w:p>
        </w:tc>
        <w:tc>
          <w:tcPr>
            <w:tcW w:w="907" w:type="pct"/>
            <w:vMerge w:val="restart"/>
            <w:tcBorders>
              <w:top w:val="single" w:color="auto" w:sz="4" w:space="0"/>
              <w:left w:val="single" w:color="auto" w:sz="4" w:space="0"/>
              <w:bottom w:val="single" w:color="auto" w:sz="4" w:space="0"/>
              <w:right w:val="single" w:color="auto" w:sz="4" w:space="0"/>
            </w:tcBorders>
            <w:vAlign w:val="center"/>
          </w:tcPr>
          <w:p w14:paraId="7E2B8F32">
            <w:pPr>
              <w:autoSpaceDE w:val="0"/>
              <w:spacing w:line="240" w:lineRule="auto"/>
              <w:jc w:val="center"/>
              <w:rPr>
                <w:kern w:val="0"/>
              </w:rPr>
            </w:pPr>
            <w:r>
              <w:rPr>
                <w:rFonts w:hint="eastAsia" w:cs="宋体"/>
                <w:kern w:val="0"/>
              </w:rPr>
              <w:t>粉煤灰掺量</w:t>
            </w:r>
          </w:p>
          <w:p w14:paraId="68216A3F">
            <w:pPr>
              <w:autoSpaceDE w:val="0"/>
              <w:spacing w:line="240" w:lineRule="auto"/>
              <w:jc w:val="center"/>
              <w:rPr>
                <w:kern w:val="0"/>
              </w:rPr>
            </w:pPr>
            <w:r>
              <w:rPr>
                <w:rFonts w:hint="eastAsia" w:cs="宋体"/>
                <w:kern w:val="0"/>
              </w:rPr>
              <w:t>（</w:t>
            </w:r>
            <w:r>
              <w:rPr>
                <w:kern w:val="0"/>
              </w:rPr>
              <w:t>%</w:t>
            </w:r>
            <w:r>
              <w:rPr>
                <w:rFonts w:hint="eastAsia" w:cs="宋体"/>
                <w:kern w:val="0"/>
              </w:rPr>
              <w:t>）</w:t>
            </w:r>
          </w:p>
        </w:tc>
        <w:tc>
          <w:tcPr>
            <w:tcW w:w="517" w:type="pct"/>
            <w:vMerge w:val="restart"/>
            <w:tcBorders>
              <w:top w:val="single" w:color="auto" w:sz="4" w:space="0"/>
              <w:left w:val="single" w:color="auto" w:sz="4" w:space="0"/>
              <w:bottom w:val="single" w:color="auto" w:sz="4" w:space="0"/>
              <w:right w:val="single" w:color="auto" w:sz="4" w:space="0"/>
            </w:tcBorders>
            <w:vAlign w:val="center"/>
          </w:tcPr>
          <w:p w14:paraId="64F5E11B">
            <w:pPr>
              <w:autoSpaceDE w:val="0"/>
              <w:spacing w:line="240" w:lineRule="auto"/>
              <w:jc w:val="center"/>
              <w:rPr>
                <w:kern w:val="0"/>
              </w:rPr>
            </w:pPr>
            <w:r>
              <w:rPr>
                <w:rFonts w:hint="eastAsia" w:cs="宋体"/>
                <w:kern w:val="0"/>
              </w:rPr>
              <w:t>砂率</w:t>
            </w:r>
          </w:p>
          <w:p w14:paraId="47C9AA11">
            <w:pPr>
              <w:autoSpaceDE w:val="0"/>
              <w:spacing w:line="240" w:lineRule="auto"/>
              <w:jc w:val="center"/>
              <w:rPr>
                <w:kern w:val="0"/>
              </w:rPr>
            </w:pPr>
            <w:r>
              <w:rPr>
                <w:rFonts w:hint="eastAsia" w:cs="宋体"/>
                <w:kern w:val="0"/>
              </w:rPr>
              <w:t>（</w:t>
            </w:r>
            <w:r>
              <w:rPr>
                <w:kern w:val="0"/>
              </w:rPr>
              <w:t>%</w:t>
            </w:r>
            <w:r>
              <w:rPr>
                <w:rFonts w:hint="eastAsia" w:cs="宋体"/>
                <w:kern w:val="0"/>
              </w:rPr>
              <w:t>）</w:t>
            </w:r>
          </w:p>
        </w:tc>
        <w:tc>
          <w:tcPr>
            <w:tcW w:w="2841" w:type="pct"/>
            <w:gridSpan w:val="7"/>
            <w:tcBorders>
              <w:top w:val="single" w:color="auto" w:sz="4" w:space="0"/>
              <w:left w:val="single" w:color="auto" w:sz="4" w:space="0"/>
              <w:bottom w:val="single" w:color="auto" w:sz="4" w:space="0"/>
              <w:right w:val="single" w:color="auto" w:sz="4" w:space="0"/>
            </w:tcBorders>
            <w:vAlign w:val="center"/>
          </w:tcPr>
          <w:p w14:paraId="1E8E1F2D">
            <w:pPr>
              <w:autoSpaceDE w:val="0"/>
              <w:spacing w:line="240" w:lineRule="auto"/>
              <w:jc w:val="center"/>
              <w:rPr>
                <w:kern w:val="0"/>
              </w:rPr>
            </w:pPr>
            <w:r>
              <w:rPr>
                <w:rFonts w:hint="eastAsia" w:cs="宋体"/>
                <w:kern w:val="0"/>
              </w:rPr>
              <w:t>用量（</w:t>
            </w:r>
            <w:r>
              <w:rPr>
                <w:kern w:val="0"/>
              </w:rPr>
              <w:t>kg/m</w:t>
            </w:r>
            <w:r>
              <w:rPr>
                <w:kern w:val="0"/>
                <w:vertAlign w:val="superscript"/>
              </w:rPr>
              <w:t>3</w:t>
            </w:r>
            <w:r>
              <w:rPr>
                <w:rFonts w:hint="eastAsia" w:cs="宋体"/>
                <w:kern w:val="0"/>
              </w:rPr>
              <w:t>）</w:t>
            </w:r>
          </w:p>
        </w:tc>
      </w:tr>
      <w:tr w14:paraId="0D572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9" w:hRule="atLeast"/>
        </w:trPr>
        <w:tc>
          <w:tcPr>
            <w:tcW w:w="367" w:type="pct"/>
            <w:vMerge w:val="continue"/>
            <w:tcBorders>
              <w:top w:val="single" w:color="auto" w:sz="4" w:space="0"/>
              <w:left w:val="single" w:color="auto" w:sz="4" w:space="0"/>
              <w:bottom w:val="single" w:color="auto" w:sz="4" w:space="0"/>
              <w:right w:val="single" w:color="auto" w:sz="4" w:space="0"/>
            </w:tcBorders>
            <w:vAlign w:val="center"/>
          </w:tcPr>
          <w:p w14:paraId="61841CEA">
            <w:pPr>
              <w:spacing w:line="240" w:lineRule="auto"/>
              <w:jc w:val="left"/>
              <w:rPr>
                <w:kern w:val="0"/>
                <w:sz w:val="21"/>
                <w:szCs w:val="21"/>
              </w:rPr>
            </w:pPr>
          </w:p>
        </w:tc>
        <w:tc>
          <w:tcPr>
            <w:tcW w:w="367" w:type="pct"/>
            <w:vMerge w:val="continue"/>
            <w:tcBorders>
              <w:top w:val="single" w:color="auto" w:sz="4" w:space="0"/>
              <w:left w:val="single" w:color="auto" w:sz="4" w:space="0"/>
              <w:bottom w:val="single" w:color="auto" w:sz="4" w:space="0"/>
              <w:right w:val="single" w:color="auto" w:sz="4" w:space="0"/>
            </w:tcBorders>
            <w:vAlign w:val="center"/>
          </w:tcPr>
          <w:p w14:paraId="24562BC1">
            <w:pPr>
              <w:spacing w:line="240" w:lineRule="auto"/>
              <w:jc w:val="left"/>
              <w:rPr>
                <w:kern w:val="0"/>
                <w:sz w:val="21"/>
                <w:szCs w:val="21"/>
              </w:rPr>
            </w:pPr>
          </w:p>
        </w:tc>
        <w:tc>
          <w:tcPr>
            <w:tcW w:w="907" w:type="pct"/>
            <w:vMerge w:val="continue"/>
            <w:tcBorders>
              <w:top w:val="single" w:color="auto" w:sz="4" w:space="0"/>
              <w:left w:val="single" w:color="auto" w:sz="4" w:space="0"/>
              <w:bottom w:val="single" w:color="auto" w:sz="4" w:space="0"/>
              <w:right w:val="single" w:color="auto" w:sz="4" w:space="0"/>
            </w:tcBorders>
            <w:vAlign w:val="center"/>
          </w:tcPr>
          <w:p w14:paraId="18D9506D">
            <w:pPr>
              <w:spacing w:line="240" w:lineRule="auto"/>
              <w:jc w:val="left"/>
              <w:rPr>
                <w:kern w:val="0"/>
                <w:sz w:val="21"/>
                <w:szCs w:val="21"/>
              </w:rPr>
            </w:pPr>
          </w:p>
        </w:tc>
        <w:tc>
          <w:tcPr>
            <w:tcW w:w="517" w:type="pct"/>
            <w:vMerge w:val="continue"/>
            <w:tcBorders>
              <w:top w:val="single" w:color="auto" w:sz="4" w:space="0"/>
              <w:left w:val="single" w:color="auto" w:sz="4" w:space="0"/>
              <w:bottom w:val="single" w:color="auto" w:sz="4" w:space="0"/>
              <w:right w:val="single" w:color="auto" w:sz="4" w:space="0"/>
            </w:tcBorders>
            <w:vAlign w:val="center"/>
          </w:tcPr>
          <w:p w14:paraId="63EF19BF">
            <w:pPr>
              <w:spacing w:line="240" w:lineRule="auto"/>
              <w:jc w:val="left"/>
              <w:rPr>
                <w:kern w:val="0"/>
                <w:sz w:val="21"/>
                <w:szCs w:val="21"/>
              </w:rPr>
            </w:pPr>
          </w:p>
        </w:tc>
        <w:tc>
          <w:tcPr>
            <w:tcW w:w="277" w:type="pct"/>
            <w:vMerge w:val="restart"/>
            <w:tcBorders>
              <w:top w:val="nil"/>
              <w:left w:val="single" w:color="auto" w:sz="4" w:space="0"/>
              <w:bottom w:val="single" w:color="auto" w:sz="4" w:space="0"/>
              <w:right w:val="single" w:color="auto" w:sz="4" w:space="0"/>
            </w:tcBorders>
            <w:vAlign w:val="center"/>
          </w:tcPr>
          <w:p w14:paraId="66BB9E69">
            <w:pPr>
              <w:autoSpaceDE w:val="0"/>
              <w:spacing w:line="240" w:lineRule="auto"/>
              <w:jc w:val="center"/>
              <w:rPr>
                <w:kern w:val="0"/>
              </w:rPr>
            </w:pPr>
            <w:r>
              <w:rPr>
                <w:rFonts w:hint="eastAsia" w:cs="宋体"/>
                <w:kern w:val="0"/>
              </w:rPr>
              <w:t>水</w:t>
            </w:r>
          </w:p>
        </w:tc>
        <w:tc>
          <w:tcPr>
            <w:tcW w:w="367" w:type="pct"/>
            <w:vMerge w:val="restart"/>
            <w:tcBorders>
              <w:top w:val="single" w:color="auto" w:sz="4" w:space="0"/>
              <w:left w:val="single" w:color="auto" w:sz="4" w:space="0"/>
              <w:bottom w:val="single" w:color="auto" w:sz="4" w:space="0"/>
              <w:right w:val="single" w:color="auto" w:sz="4" w:space="0"/>
            </w:tcBorders>
            <w:vAlign w:val="center"/>
          </w:tcPr>
          <w:p w14:paraId="46B8FCCF">
            <w:pPr>
              <w:autoSpaceDE w:val="0"/>
              <w:spacing w:line="240" w:lineRule="auto"/>
              <w:jc w:val="center"/>
              <w:rPr>
                <w:kern w:val="0"/>
              </w:rPr>
            </w:pPr>
            <w:r>
              <w:rPr>
                <w:rFonts w:hint="eastAsia" w:cs="宋体"/>
                <w:kern w:val="0"/>
              </w:rPr>
              <w:t>水泥</w:t>
            </w:r>
          </w:p>
        </w:tc>
        <w:tc>
          <w:tcPr>
            <w:tcW w:w="547" w:type="pct"/>
            <w:vMerge w:val="restart"/>
            <w:tcBorders>
              <w:top w:val="single" w:color="auto" w:sz="4" w:space="0"/>
              <w:left w:val="single" w:color="auto" w:sz="4" w:space="0"/>
              <w:bottom w:val="single" w:color="auto" w:sz="4" w:space="0"/>
              <w:right w:val="single" w:color="auto" w:sz="4" w:space="0"/>
            </w:tcBorders>
            <w:vAlign w:val="center"/>
          </w:tcPr>
          <w:p w14:paraId="41C762CC">
            <w:pPr>
              <w:autoSpaceDE w:val="0"/>
              <w:spacing w:line="240" w:lineRule="auto"/>
              <w:jc w:val="center"/>
              <w:rPr>
                <w:kern w:val="0"/>
              </w:rPr>
            </w:pPr>
            <w:r>
              <w:rPr>
                <w:rFonts w:hint="eastAsia" w:cs="宋体"/>
                <w:kern w:val="0"/>
              </w:rPr>
              <w:t>粉煤灰</w:t>
            </w:r>
          </w:p>
        </w:tc>
        <w:tc>
          <w:tcPr>
            <w:tcW w:w="547" w:type="pct"/>
            <w:vMerge w:val="restart"/>
            <w:tcBorders>
              <w:top w:val="single" w:color="auto" w:sz="4" w:space="0"/>
              <w:left w:val="single" w:color="auto" w:sz="4" w:space="0"/>
              <w:bottom w:val="single" w:color="auto" w:sz="4" w:space="0"/>
              <w:right w:val="single" w:color="auto" w:sz="4" w:space="0"/>
            </w:tcBorders>
            <w:vAlign w:val="center"/>
          </w:tcPr>
          <w:p w14:paraId="1925FE88">
            <w:pPr>
              <w:autoSpaceDE w:val="0"/>
              <w:spacing w:line="240" w:lineRule="auto"/>
              <w:jc w:val="center"/>
              <w:rPr>
                <w:kern w:val="0"/>
              </w:rPr>
            </w:pPr>
            <w:r>
              <w:rPr>
                <w:rFonts w:hint="eastAsia" w:cs="宋体"/>
                <w:kern w:val="0"/>
              </w:rPr>
              <w:t>细骨料</w:t>
            </w:r>
          </w:p>
        </w:tc>
        <w:tc>
          <w:tcPr>
            <w:tcW w:w="555" w:type="pct"/>
            <w:gridSpan w:val="2"/>
            <w:tcBorders>
              <w:top w:val="single" w:color="auto" w:sz="4" w:space="0"/>
              <w:left w:val="single" w:color="auto" w:sz="4" w:space="0"/>
              <w:bottom w:val="single" w:color="auto" w:sz="4" w:space="0"/>
              <w:right w:val="single" w:color="auto" w:sz="4" w:space="0"/>
            </w:tcBorders>
            <w:vAlign w:val="center"/>
          </w:tcPr>
          <w:p w14:paraId="61A279C0">
            <w:pPr>
              <w:autoSpaceDE w:val="0"/>
              <w:spacing w:line="240" w:lineRule="auto"/>
              <w:jc w:val="center"/>
              <w:rPr>
                <w:kern w:val="0"/>
              </w:rPr>
            </w:pPr>
            <w:r>
              <w:rPr>
                <w:rFonts w:hint="eastAsia" w:cs="宋体"/>
                <w:kern w:val="0"/>
              </w:rPr>
              <w:t>粗骨料</w:t>
            </w:r>
          </w:p>
        </w:tc>
        <w:tc>
          <w:tcPr>
            <w:tcW w:w="547" w:type="pct"/>
            <w:vMerge w:val="restart"/>
            <w:tcBorders>
              <w:top w:val="single" w:color="auto" w:sz="4" w:space="0"/>
              <w:left w:val="single" w:color="auto" w:sz="4" w:space="0"/>
              <w:bottom w:val="single" w:color="auto" w:sz="4" w:space="0"/>
              <w:right w:val="single" w:color="auto" w:sz="4" w:space="0"/>
            </w:tcBorders>
            <w:vAlign w:val="center"/>
          </w:tcPr>
          <w:p w14:paraId="3125AC7E">
            <w:pPr>
              <w:autoSpaceDE w:val="0"/>
              <w:spacing w:line="240" w:lineRule="auto"/>
              <w:jc w:val="center"/>
              <w:rPr>
                <w:kern w:val="0"/>
              </w:rPr>
            </w:pPr>
            <w:r>
              <w:rPr>
                <w:rFonts w:hint="eastAsia" w:cs="宋体"/>
                <w:kern w:val="0"/>
              </w:rPr>
              <w:t>外加剂</w:t>
            </w:r>
          </w:p>
        </w:tc>
      </w:tr>
      <w:tr w14:paraId="5D50E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5" w:hRule="atLeast"/>
        </w:trPr>
        <w:tc>
          <w:tcPr>
            <w:tcW w:w="367" w:type="pct"/>
            <w:vMerge w:val="continue"/>
            <w:tcBorders>
              <w:top w:val="single" w:color="auto" w:sz="4" w:space="0"/>
              <w:left w:val="single" w:color="auto" w:sz="4" w:space="0"/>
              <w:bottom w:val="single" w:color="auto" w:sz="4" w:space="0"/>
              <w:right w:val="single" w:color="auto" w:sz="4" w:space="0"/>
            </w:tcBorders>
            <w:vAlign w:val="center"/>
          </w:tcPr>
          <w:p w14:paraId="6470A58D">
            <w:pPr>
              <w:spacing w:line="240" w:lineRule="auto"/>
              <w:jc w:val="left"/>
              <w:rPr>
                <w:kern w:val="0"/>
                <w:sz w:val="21"/>
                <w:szCs w:val="21"/>
              </w:rPr>
            </w:pPr>
          </w:p>
        </w:tc>
        <w:tc>
          <w:tcPr>
            <w:tcW w:w="367" w:type="pct"/>
            <w:vMerge w:val="continue"/>
            <w:tcBorders>
              <w:top w:val="single" w:color="auto" w:sz="4" w:space="0"/>
              <w:left w:val="single" w:color="auto" w:sz="4" w:space="0"/>
              <w:bottom w:val="single" w:color="auto" w:sz="4" w:space="0"/>
              <w:right w:val="single" w:color="auto" w:sz="4" w:space="0"/>
            </w:tcBorders>
            <w:vAlign w:val="center"/>
          </w:tcPr>
          <w:p w14:paraId="508C0B3B">
            <w:pPr>
              <w:spacing w:line="240" w:lineRule="auto"/>
              <w:jc w:val="left"/>
              <w:rPr>
                <w:kern w:val="0"/>
                <w:sz w:val="21"/>
                <w:szCs w:val="21"/>
              </w:rPr>
            </w:pPr>
          </w:p>
        </w:tc>
        <w:tc>
          <w:tcPr>
            <w:tcW w:w="907" w:type="pct"/>
            <w:vMerge w:val="continue"/>
            <w:tcBorders>
              <w:top w:val="single" w:color="auto" w:sz="4" w:space="0"/>
              <w:left w:val="single" w:color="auto" w:sz="4" w:space="0"/>
              <w:bottom w:val="single" w:color="auto" w:sz="4" w:space="0"/>
              <w:right w:val="single" w:color="auto" w:sz="4" w:space="0"/>
            </w:tcBorders>
            <w:vAlign w:val="center"/>
          </w:tcPr>
          <w:p w14:paraId="2797BDB0">
            <w:pPr>
              <w:spacing w:line="240" w:lineRule="auto"/>
              <w:jc w:val="left"/>
              <w:rPr>
                <w:kern w:val="0"/>
                <w:sz w:val="21"/>
                <w:szCs w:val="21"/>
              </w:rPr>
            </w:pPr>
          </w:p>
        </w:tc>
        <w:tc>
          <w:tcPr>
            <w:tcW w:w="517" w:type="pct"/>
            <w:vMerge w:val="continue"/>
            <w:tcBorders>
              <w:top w:val="single" w:color="auto" w:sz="4" w:space="0"/>
              <w:left w:val="single" w:color="auto" w:sz="4" w:space="0"/>
              <w:bottom w:val="single" w:color="auto" w:sz="4" w:space="0"/>
              <w:right w:val="single" w:color="auto" w:sz="4" w:space="0"/>
            </w:tcBorders>
            <w:vAlign w:val="center"/>
          </w:tcPr>
          <w:p w14:paraId="0354C7F5">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6687AC43">
            <w:pPr>
              <w:spacing w:line="240" w:lineRule="auto"/>
              <w:jc w:val="left"/>
              <w:rPr>
                <w:kern w:val="0"/>
                <w:sz w:val="21"/>
                <w:szCs w:val="21"/>
              </w:rPr>
            </w:pPr>
          </w:p>
        </w:tc>
        <w:tc>
          <w:tcPr>
            <w:tcW w:w="367" w:type="pct"/>
            <w:vMerge w:val="continue"/>
            <w:tcBorders>
              <w:top w:val="single" w:color="auto" w:sz="4" w:space="0"/>
              <w:left w:val="single" w:color="auto" w:sz="4" w:space="0"/>
              <w:bottom w:val="single" w:color="auto" w:sz="4" w:space="0"/>
              <w:right w:val="single" w:color="auto" w:sz="4" w:space="0"/>
            </w:tcBorders>
            <w:vAlign w:val="center"/>
          </w:tcPr>
          <w:p w14:paraId="7DE87143">
            <w:pPr>
              <w:spacing w:line="240" w:lineRule="auto"/>
              <w:jc w:val="left"/>
              <w:rPr>
                <w:kern w:val="0"/>
                <w:sz w:val="21"/>
                <w:szCs w:val="21"/>
              </w:rPr>
            </w:pPr>
          </w:p>
        </w:tc>
        <w:tc>
          <w:tcPr>
            <w:tcW w:w="547" w:type="pct"/>
            <w:vMerge w:val="continue"/>
            <w:tcBorders>
              <w:top w:val="single" w:color="auto" w:sz="4" w:space="0"/>
              <w:left w:val="single" w:color="auto" w:sz="4" w:space="0"/>
              <w:bottom w:val="single" w:color="auto" w:sz="4" w:space="0"/>
              <w:right w:val="single" w:color="auto" w:sz="4" w:space="0"/>
            </w:tcBorders>
            <w:vAlign w:val="center"/>
          </w:tcPr>
          <w:p w14:paraId="594E0FE6">
            <w:pPr>
              <w:spacing w:line="240" w:lineRule="auto"/>
              <w:jc w:val="left"/>
              <w:rPr>
                <w:kern w:val="0"/>
                <w:sz w:val="21"/>
                <w:szCs w:val="21"/>
              </w:rPr>
            </w:pPr>
          </w:p>
        </w:tc>
        <w:tc>
          <w:tcPr>
            <w:tcW w:w="547" w:type="pct"/>
            <w:vMerge w:val="continue"/>
            <w:tcBorders>
              <w:top w:val="single" w:color="auto" w:sz="4" w:space="0"/>
              <w:left w:val="single" w:color="auto" w:sz="4" w:space="0"/>
              <w:bottom w:val="single" w:color="auto" w:sz="4" w:space="0"/>
              <w:right w:val="single" w:color="auto" w:sz="4" w:space="0"/>
            </w:tcBorders>
            <w:vAlign w:val="center"/>
          </w:tcPr>
          <w:p w14:paraId="22C4CE70">
            <w:pPr>
              <w:spacing w:line="240" w:lineRule="auto"/>
              <w:jc w:val="left"/>
              <w:rPr>
                <w:kern w:val="0"/>
                <w:sz w:val="21"/>
                <w:szCs w:val="21"/>
              </w:rPr>
            </w:pPr>
          </w:p>
        </w:tc>
        <w:tc>
          <w:tcPr>
            <w:tcW w:w="277" w:type="pct"/>
            <w:tcBorders>
              <w:top w:val="single" w:color="auto" w:sz="4" w:space="0"/>
              <w:left w:val="single" w:color="auto" w:sz="4" w:space="0"/>
              <w:bottom w:val="single" w:color="auto" w:sz="4" w:space="0"/>
              <w:right w:val="single" w:color="auto" w:sz="4" w:space="0"/>
            </w:tcBorders>
            <w:vAlign w:val="center"/>
          </w:tcPr>
          <w:p w14:paraId="73305708">
            <w:pPr>
              <w:autoSpaceDE w:val="0"/>
              <w:spacing w:line="240" w:lineRule="auto"/>
              <w:jc w:val="center"/>
              <w:rPr>
                <w:kern w:val="0"/>
              </w:rPr>
            </w:pPr>
            <w:r>
              <w:rPr>
                <w:kern w:val="0"/>
              </w:rPr>
              <w:t>Ⅰ</w:t>
            </w:r>
          </w:p>
        </w:tc>
        <w:tc>
          <w:tcPr>
            <w:tcW w:w="277" w:type="pct"/>
            <w:tcBorders>
              <w:top w:val="single" w:color="auto" w:sz="4" w:space="0"/>
              <w:left w:val="single" w:color="auto" w:sz="4" w:space="0"/>
              <w:bottom w:val="single" w:color="auto" w:sz="4" w:space="0"/>
              <w:right w:val="single" w:color="auto" w:sz="4" w:space="0"/>
            </w:tcBorders>
            <w:vAlign w:val="center"/>
          </w:tcPr>
          <w:p w14:paraId="2087BE87">
            <w:pPr>
              <w:autoSpaceDE w:val="0"/>
              <w:spacing w:line="240" w:lineRule="auto"/>
              <w:jc w:val="center"/>
              <w:rPr>
                <w:kern w:val="0"/>
              </w:rPr>
            </w:pPr>
            <w:r>
              <w:rPr>
                <w:kern w:val="0"/>
              </w:rPr>
              <w:t>Ⅱ</w:t>
            </w:r>
          </w:p>
        </w:tc>
        <w:tc>
          <w:tcPr>
            <w:tcW w:w="547" w:type="pct"/>
            <w:vMerge w:val="continue"/>
            <w:tcBorders>
              <w:top w:val="single" w:color="auto" w:sz="4" w:space="0"/>
              <w:left w:val="single" w:color="auto" w:sz="4" w:space="0"/>
              <w:bottom w:val="single" w:color="auto" w:sz="4" w:space="0"/>
              <w:right w:val="single" w:color="auto" w:sz="4" w:space="0"/>
            </w:tcBorders>
            <w:vAlign w:val="center"/>
          </w:tcPr>
          <w:p w14:paraId="12A4F4D2">
            <w:pPr>
              <w:spacing w:line="240" w:lineRule="auto"/>
              <w:jc w:val="left"/>
              <w:rPr>
                <w:kern w:val="0"/>
                <w:sz w:val="21"/>
                <w:szCs w:val="21"/>
              </w:rPr>
            </w:pPr>
          </w:p>
        </w:tc>
      </w:tr>
      <w:tr w14:paraId="2E4E5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367" w:type="pct"/>
            <w:tcBorders>
              <w:top w:val="single" w:color="auto" w:sz="4" w:space="0"/>
              <w:left w:val="single" w:color="auto" w:sz="4" w:space="0"/>
              <w:bottom w:val="single" w:color="auto" w:sz="4" w:space="0"/>
              <w:right w:val="single" w:color="auto" w:sz="4" w:space="0"/>
            </w:tcBorders>
            <w:vAlign w:val="center"/>
          </w:tcPr>
          <w:p w14:paraId="033361DE">
            <w:pPr>
              <w:autoSpaceDE w:val="0"/>
              <w:spacing w:line="240" w:lineRule="auto"/>
              <w:jc w:val="center"/>
              <w:rPr>
                <w:kern w:val="0"/>
              </w:rPr>
            </w:pPr>
            <w:r>
              <w:rPr>
                <w:kern w:val="0"/>
              </w:rPr>
              <w:t>1</w:t>
            </w:r>
          </w:p>
        </w:tc>
        <w:tc>
          <w:tcPr>
            <w:tcW w:w="367" w:type="pct"/>
            <w:vMerge w:val="restart"/>
            <w:tcBorders>
              <w:top w:val="nil"/>
              <w:left w:val="single" w:color="auto" w:sz="4" w:space="0"/>
              <w:bottom w:val="single" w:color="auto" w:sz="4" w:space="0"/>
              <w:right w:val="single" w:color="auto" w:sz="4" w:space="0"/>
            </w:tcBorders>
            <w:vAlign w:val="center"/>
          </w:tcPr>
          <w:p w14:paraId="653E2B02">
            <w:pPr>
              <w:autoSpaceDE w:val="0"/>
              <w:spacing w:line="240" w:lineRule="auto"/>
              <w:jc w:val="center"/>
              <w:rPr>
                <w:kern w:val="0"/>
              </w:rPr>
            </w:pPr>
            <w:r>
              <w:rPr>
                <w:kern w:val="0"/>
              </w:rPr>
              <w:t>C30</w:t>
            </w:r>
          </w:p>
        </w:tc>
        <w:tc>
          <w:tcPr>
            <w:tcW w:w="907" w:type="pct"/>
            <w:tcBorders>
              <w:top w:val="single" w:color="auto" w:sz="4" w:space="0"/>
              <w:left w:val="single" w:color="auto" w:sz="4" w:space="0"/>
              <w:bottom w:val="single" w:color="auto" w:sz="4" w:space="0"/>
              <w:right w:val="single" w:color="auto" w:sz="4" w:space="0"/>
            </w:tcBorders>
            <w:vAlign w:val="center"/>
          </w:tcPr>
          <w:p w14:paraId="1D04CFC3">
            <w:pPr>
              <w:autoSpaceDE w:val="0"/>
              <w:spacing w:line="240" w:lineRule="auto"/>
              <w:jc w:val="center"/>
              <w:rPr>
                <w:kern w:val="0"/>
              </w:rPr>
            </w:pPr>
            <w:r>
              <w:rPr>
                <w:kern w:val="0"/>
              </w:rPr>
              <w:t>19</w:t>
            </w:r>
          </w:p>
        </w:tc>
        <w:tc>
          <w:tcPr>
            <w:tcW w:w="517" w:type="pct"/>
            <w:vMerge w:val="restart"/>
            <w:tcBorders>
              <w:top w:val="nil"/>
              <w:left w:val="single" w:color="auto" w:sz="4" w:space="0"/>
              <w:bottom w:val="single" w:color="auto" w:sz="4" w:space="0"/>
              <w:right w:val="single" w:color="auto" w:sz="4" w:space="0"/>
            </w:tcBorders>
            <w:vAlign w:val="center"/>
          </w:tcPr>
          <w:p w14:paraId="5CA322C3">
            <w:pPr>
              <w:autoSpaceDE w:val="0"/>
              <w:spacing w:line="240" w:lineRule="auto"/>
              <w:jc w:val="center"/>
              <w:rPr>
                <w:kern w:val="0"/>
              </w:rPr>
            </w:pPr>
            <w:r>
              <w:rPr>
                <w:kern w:val="0"/>
              </w:rPr>
              <w:t>44</w:t>
            </w:r>
          </w:p>
        </w:tc>
        <w:tc>
          <w:tcPr>
            <w:tcW w:w="277" w:type="pct"/>
            <w:vMerge w:val="restart"/>
            <w:tcBorders>
              <w:top w:val="nil"/>
              <w:left w:val="single" w:color="auto" w:sz="4" w:space="0"/>
              <w:bottom w:val="single" w:color="auto" w:sz="4" w:space="0"/>
              <w:right w:val="single" w:color="auto" w:sz="4" w:space="0"/>
            </w:tcBorders>
            <w:vAlign w:val="center"/>
          </w:tcPr>
          <w:p w14:paraId="79797225">
            <w:pPr>
              <w:autoSpaceDE w:val="0"/>
              <w:spacing w:line="240" w:lineRule="auto"/>
              <w:jc w:val="center"/>
              <w:rPr>
                <w:kern w:val="0"/>
              </w:rPr>
            </w:pPr>
            <w:r>
              <w:rPr>
                <w:kern w:val="0"/>
              </w:rPr>
              <w:t>174</w:t>
            </w:r>
          </w:p>
        </w:tc>
        <w:tc>
          <w:tcPr>
            <w:tcW w:w="367" w:type="pct"/>
            <w:tcBorders>
              <w:top w:val="single" w:color="auto" w:sz="4" w:space="0"/>
              <w:left w:val="single" w:color="auto" w:sz="4" w:space="0"/>
              <w:bottom w:val="single" w:color="auto" w:sz="4" w:space="0"/>
              <w:right w:val="single" w:color="auto" w:sz="4" w:space="0"/>
            </w:tcBorders>
            <w:vAlign w:val="center"/>
          </w:tcPr>
          <w:p w14:paraId="431CF771">
            <w:pPr>
              <w:autoSpaceDE w:val="0"/>
              <w:spacing w:line="240" w:lineRule="auto"/>
              <w:jc w:val="center"/>
              <w:rPr>
                <w:kern w:val="0"/>
              </w:rPr>
            </w:pPr>
            <w:r>
              <w:rPr>
                <w:kern w:val="0"/>
              </w:rPr>
              <w:t>313</w:t>
            </w:r>
          </w:p>
        </w:tc>
        <w:tc>
          <w:tcPr>
            <w:tcW w:w="547" w:type="pct"/>
            <w:tcBorders>
              <w:top w:val="single" w:color="auto" w:sz="4" w:space="0"/>
              <w:left w:val="single" w:color="auto" w:sz="4" w:space="0"/>
              <w:bottom w:val="single" w:color="auto" w:sz="4" w:space="0"/>
              <w:right w:val="single" w:color="auto" w:sz="4" w:space="0"/>
            </w:tcBorders>
            <w:vAlign w:val="center"/>
          </w:tcPr>
          <w:p w14:paraId="494D8996">
            <w:pPr>
              <w:autoSpaceDE w:val="0"/>
              <w:spacing w:line="240" w:lineRule="auto"/>
              <w:jc w:val="center"/>
              <w:rPr>
                <w:kern w:val="0"/>
              </w:rPr>
            </w:pPr>
            <w:r>
              <w:rPr>
                <w:kern w:val="0"/>
              </w:rPr>
              <w:t>73</w:t>
            </w:r>
          </w:p>
        </w:tc>
        <w:tc>
          <w:tcPr>
            <w:tcW w:w="547" w:type="pct"/>
            <w:vMerge w:val="restart"/>
            <w:tcBorders>
              <w:top w:val="nil"/>
              <w:left w:val="single" w:color="auto" w:sz="4" w:space="0"/>
              <w:bottom w:val="single" w:color="auto" w:sz="4" w:space="0"/>
              <w:right w:val="single" w:color="auto" w:sz="4" w:space="0"/>
            </w:tcBorders>
            <w:vAlign w:val="center"/>
          </w:tcPr>
          <w:p w14:paraId="3EA409AC">
            <w:pPr>
              <w:autoSpaceDE w:val="0"/>
              <w:spacing w:line="240" w:lineRule="auto"/>
              <w:jc w:val="center"/>
              <w:rPr>
                <w:kern w:val="0"/>
              </w:rPr>
            </w:pPr>
            <w:r>
              <w:rPr>
                <w:kern w:val="0"/>
              </w:rPr>
              <w:t>780</w:t>
            </w:r>
          </w:p>
        </w:tc>
        <w:tc>
          <w:tcPr>
            <w:tcW w:w="277" w:type="pct"/>
            <w:vMerge w:val="restart"/>
            <w:tcBorders>
              <w:top w:val="nil"/>
              <w:left w:val="single" w:color="auto" w:sz="4" w:space="0"/>
              <w:bottom w:val="single" w:color="auto" w:sz="4" w:space="0"/>
              <w:right w:val="single" w:color="auto" w:sz="4" w:space="0"/>
            </w:tcBorders>
            <w:vAlign w:val="center"/>
          </w:tcPr>
          <w:p w14:paraId="3613DE95">
            <w:pPr>
              <w:autoSpaceDE w:val="0"/>
              <w:spacing w:line="240" w:lineRule="auto"/>
              <w:jc w:val="center"/>
              <w:rPr>
                <w:kern w:val="0"/>
              </w:rPr>
            </w:pPr>
            <w:r>
              <w:rPr>
                <w:kern w:val="0"/>
              </w:rPr>
              <w:t>496</w:t>
            </w:r>
          </w:p>
        </w:tc>
        <w:tc>
          <w:tcPr>
            <w:tcW w:w="277" w:type="pct"/>
            <w:vMerge w:val="restart"/>
            <w:tcBorders>
              <w:top w:val="nil"/>
              <w:left w:val="single" w:color="auto" w:sz="4" w:space="0"/>
              <w:bottom w:val="single" w:color="auto" w:sz="4" w:space="0"/>
              <w:right w:val="single" w:color="auto" w:sz="4" w:space="0"/>
            </w:tcBorders>
            <w:vAlign w:val="center"/>
          </w:tcPr>
          <w:p w14:paraId="334EBE77">
            <w:pPr>
              <w:autoSpaceDE w:val="0"/>
              <w:spacing w:line="240" w:lineRule="auto"/>
              <w:jc w:val="center"/>
              <w:rPr>
                <w:kern w:val="0"/>
              </w:rPr>
            </w:pPr>
            <w:r>
              <w:rPr>
                <w:kern w:val="0"/>
              </w:rPr>
              <w:t>496</w:t>
            </w:r>
          </w:p>
        </w:tc>
        <w:tc>
          <w:tcPr>
            <w:tcW w:w="547" w:type="pct"/>
            <w:tcBorders>
              <w:top w:val="single" w:color="auto" w:sz="4" w:space="0"/>
              <w:left w:val="single" w:color="auto" w:sz="4" w:space="0"/>
              <w:bottom w:val="single" w:color="auto" w:sz="4" w:space="0"/>
              <w:right w:val="single" w:color="auto" w:sz="4" w:space="0"/>
            </w:tcBorders>
            <w:vAlign w:val="center"/>
          </w:tcPr>
          <w:p w14:paraId="6EEDA7E1">
            <w:pPr>
              <w:autoSpaceDE w:val="0"/>
              <w:spacing w:line="240" w:lineRule="auto"/>
              <w:jc w:val="center"/>
              <w:rPr>
                <w:kern w:val="0"/>
              </w:rPr>
            </w:pPr>
            <w:r>
              <w:rPr>
                <w:kern w:val="0"/>
              </w:rPr>
              <w:t>6.18</w:t>
            </w:r>
          </w:p>
        </w:tc>
      </w:tr>
      <w:tr w14:paraId="087E5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367" w:type="pct"/>
            <w:tcBorders>
              <w:top w:val="single" w:color="auto" w:sz="4" w:space="0"/>
              <w:left w:val="single" w:color="auto" w:sz="4" w:space="0"/>
              <w:bottom w:val="single" w:color="auto" w:sz="4" w:space="0"/>
              <w:right w:val="single" w:color="auto" w:sz="4" w:space="0"/>
            </w:tcBorders>
            <w:vAlign w:val="center"/>
          </w:tcPr>
          <w:p w14:paraId="0F2B3567">
            <w:pPr>
              <w:autoSpaceDE w:val="0"/>
              <w:spacing w:line="240" w:lineRule="auto"/>
              <w:jc w:val="center"/>
              <w:rPr>
                <w:kern w:val="0"/>
              </w:rPr>
            </w:pPr>
            <w:r>
              <w:rPr>
                <w:kern w:val="0"/>
              </w:rPr>
              <w:t>2</w:t>
            </w:r>
          </w:p>
        </w:tc>
        <w:tc>
          <w:tcPr>
            <w:tcW w:w="367" w:type="pct"/>
            <w:vMerge w:val="continue"/>
            <w:tcBorders>
              <w:top w:val="nil"/>
              <w:left w:val="single" w:color="auto" w:sz="4" w:space="0"/>
              <w:bottom w:val="single" w:color="auto" w:sz="4" w:space="0"/>
              <w:right w:val="single" w:color="auto" w:sz="4" w:space="0"/>
            </w:tcBorders>
            <w:vAlign w:val="center"/>
          </w:tcPr>
          <w:p w14:paraId="07AC7103">
            <w:pPr>
              <w:spacing w:line="240" w:lineRule="auto"/>
              <w:jc w:val="left"/>
              <w:rPr>
                <w:kern w:val="0"/>
                <w:sz w:val="21"/>
                <w:szCs w:val="21"/>
              </w:rPr>
            </w:pPr>
          </w:p>
        </w:tc>
        <w:tc>
          <w:tcPr>
            <w:tcW w:w="907" w:type="pct"/>
            <w:tcBorders>
              <w:top w:val="single" w:color="auto" w:sz="4" w:space="0"/>
              <w:left w:val="single" w:color="auto" w:sz="4" w:space="0"/>
              <w:bottom w:val="single" w:color="auto" w:sz="4" w:space="0"/>
              <w:right w:val="single" w:color="auto" w:sz="4" w:space="0"/>
            </w:tcBorders>
            <w:vAlign w:val="center"/>
          </w:tcPr>
          <w:p w14:paraId="7D78233A">
            <w:pPr>
              <w:autoSpaceDE w:val="0"/>
              <w:spacing w:line="240" w:lineRule="auto"/>
              <w:jc w:val="center"/>
              <w:rPr>
                <w:kern w:val="0"/>
              </w:rPr>
            </w:pPr>
            <w:r>
              <w:rPr>
                <w:kern w:val="0"/>
              </w:rPr>
              <w:t>30</w:t>
            </w:r>
          </w:p>
        </w:tc>
        <w:tc>
          <w:tcPr>
            <w:tcW w:w="517" w:type="pct"/>
            <w:vMerge w:val="continue"/>
            <w:tcBorders>
              <w:top w:val="nil"/>
              <w:left w:val="single" w:color="auto" w:sz="4" w:space="0"/>
              <w:bottom w:val="single" w:color="auto" w:sz="4" w:space="0"/>
              <w:right w:val="single" w:color="auto" w:sz="4" w:space="0"/>
            </w:tcBorders>
            <w:vAlign w:val="center"/>
          </w:tcPr>
          <w:p w14:paraId="04EC6F8B">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7D7FEA8E">
            <w:pPr>
              <w:spacing w:line="240" w:lineRule="auto"/>
              <w:jc w:val="left"/>
              <w:rPr>
                <w:kern w:val="0"/>
                <w:sz w:val="21"/>
                <w:szCs w:val="21"/>
              </w:rPr>
            </w:pPr>
          </w:p>
        </w:tc>
        <w:tc>
          <w:tcPr>
            <w:tcW w:w="367" w:type="pct"/>
            <w:tcBorders>
              <w:top w:val="single" w:color="auto" w:sz="4" w:space="0"/>
              <w:left w:val="single" w:color="auto" w:sz="4" w:space="0"/>
              <w:bottom w:val="single" w:color="auto" w:sz="4" w:space="0"/>
              <w:right w:val="single" w:color="auto" w:sz="4" w:space="0"/>
            </w:tcBorders>
            <w:vAlign w:val="center"/>
          </w:tcPr>
          <w:p w14:paraId="2F56393B">
            <w:pPr>
              <w:autoSpaceDE w:val="0"/>
              <w:spacing w:line="240" w:lineRule="auto"/>
              <w:jc w:val="center"/>
              <w:rPr>
                <w:kern w:val="0"/>
              </w:rPr>
            </w:pPr>
            <w:r>
              <w:rPr>
                <w:kern w:val="0"/>
              </w:rPr>
              <w:t>270</w:t>
            </w:r>
          </w:p>
        </w:tc>
        <w:tc>
          <w:tcPr>
            <w:tcW w:w="547" w:type="pct"/>
            <w:tcBorders>
              <w:top w:val="single" w:color="auto" w:sz="4" w:space="0"/>
              <w:left w:val="single" w:color="auto" w:sz="4" w:space="0"/>
              <w:bottom w:val="single" w:color="auto" w:sz="4" w:space="0"/>
              <w:right w:val="single" w:color="auto" w:sz="4" w:space="0"/>
            </w:tcBorders>
            <w:vAlign w:val="center"/>
          </w:tcPr>
          <w:p w14:paraId="19DE58CA">
            <w:pPr>
              <w:autoSpaceDE w:val="0"/>
              <w:spacing w:line="240" w:lineRule="auto"/>
              <w:jc w:val="center"/>
              <w:rPr>
                <w:kern w:val="0"/>
              </w:rPr>
            </w:pPr>
            <w:r>
              <w:rPr>
                <w:kern w:val="0"/>
              </w:rPr>
              <w:t>116</w:t>
            </w:r>
          </w:p>
        </w:tc>
        <w:tc>
          <w:tcPr>
            <w:tcW w:w="547" w:type="pct"/>
            <w:vMerge w:val="continue"/>
            <w:tcBorders>
              <w:top w:val="nil"/>
              <w:left w:val="single" w:color="auto" w:sz="4" w:space="0"/>
              <w:bottom w:val="single" w:color="auto" w:sz="4" w:space="0"/>
              <w:right w:val="single" w:color="auto" w:sz="4" w:space="0"/>
            </w:tcBorders>
            <w:vAlign w:val="center"/>
          </w:tcPr>
          <w:p w14:paraId="0200F462">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79AC1383">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59758678">
            <w:pPr>
              <w:spacing w:line="240" w:lineRule="auto"/>
              <w:jc w:val="left"/>
              <w:rPr>
                <w:kern w:val="0"/>
                <w:sz w:val="21"/>
                <w:szCs w:val="21"/>
              </w:rPr>
            </w:pPr>
          </w:p>
        </w:tc>
        <w:tc>
          <w:tcPr>
            <w:tcW w:w="547" w:type="pct"/>
            <w:tcBorders>
              <w:top w:val="single" w:color="auto" w:sz="4" w:space="0"/>
              <w:left w:val="single" w:color="auto" w:sz="4" w:space="0"/>
              <w:bottom w:val="single" w:color="auto" w:sz="4" w:space="0"/>
              <w:right w:val="single" w:color="auto" w:sz="4" w:space="0"/>
            </w:tcBorders>
            <w:vAlign w:val="center"/>
          </w:tcPr>
          <w:p w14:paraId="0CB4A082">
            <w:pPr>
              <w:autoSpaceDE w:val="0"/>
              <w:spacing w:line="240" w:lineRule="auto"/>
              <w:jc w:val="center"/>
              <w:rPr>
                <w:kern w:val="0"/>
              </w:rPr>
            </w:pPr>
            <w:r>
              <w:rPr>
                <w:kern w:val="0"/>
              </w:rPr>
              <w:t>5.79</w:t>
            </w:r>
          </w:p>
        </w:tc>
      </w:tr>
      <w:tr w14:paraId="26F1B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367" w:type="pct"/>
            <w:tcBorders>
              <w:top w:val="single" w:color="auto" w:sz="4" w:space="0"/>
              <w:left w:val="single" w:color="auto" w:sz="4" w:space="0"/>
              <w:bottom w:val="single" w:color="auto" w:sz="4" w:space="0"/>
              <w:right w:val="single" w:color="auto" w:sz="4" w:space="0"/>
            </w:tcBorders>
            <w:vAlign w:val="center"/>
          </w:tcPr>
          <w:p w14:paraId="72222F9A">
            <w:pPr>
              <w:autoSpaceDE w:val="0"/>
              <w:spacing w:line="240" w:lineRule="auto"/>
              <w:jc w:val="center"/>
              <w:rPr>
                <w:kern w:val="0"/>
              </w:rPr>
            </w:pPr>
            <w:r>
              <w:rPr>
                <w:kern w:val="0"/>
              </w:rPr>
              <w:t>3</w:t>
            </w:r>
          </w:p>
        </w:tc>
        <w:tc>
          <w:tcPr>
            <w:tcW w:w="367" w:type="pct"/>
            <w:vMerge w:val="continue"/>
            <w:tcBorders>
              <w:top w:val="nil"/>
              <w:left w:val="single" w:color="auto" w:sz="4" w:space="0"/>
              <w:bottom w:val="single" w:color="auto" w:sz="4" w:space="0"/>
              <w:right w:val="single" w:color="auto" w:sz="4" w:space="0"/>
            </w:tcBorders>
            <w:vAlign w:val="center"/>
          </w:tcPr>
          <w:p w14:paraId="24891372">
            <w:pPr>
              <w:spacing w:line="240" w:lineRule="auto"/>
              <w:jc w:val="left"/>
              <w:rPr>
                <w:kern w:val="0"/>
                <w:sz w:val="21"/>
                <w:szCs w:val="21"/>
              </w:rPr>
            </w:pPr>
          </w:p>
        </w:tc>
        <w:tc>
          <w:tcPr>
            <w:tcW w:w="907" w:type="pct"/>
            <w:tcBorders>
              <w:top w:val="single" w:color="auto" w:sz="4" w:space="0"/>
              <w:left w:val="single" w:color="auto" w:sz="4" w:space="0"/>
              <w:bottom w:val="single" w:color="auto" w:sz="4" w:space="0"/>
              <w:right w:val="single" w:color="auto" w:sz="4" w:space="0"/>
            </w:tcBorders>
            <w:vAlign w:val="center"/>
          </w:tcPr>
          <w:p w14:paraId="39BBB07D">
            <w:pPr>
              <w:autoSpaceDE w:val="0"/>
              <w:spacing w:line="240" w:lineRule="auto"/>
              <w:jc w:val="center"/>
              <w:rPr>
                <w:kern w:val="0"/>
              </w:rPr>
            </w:pPr>
            <w:r>
              <w:rPr>
                <w:kern w:val="0"/>
              </w:rPr>
              <w:t>40</w:t>
            </w:r>
          </w:p>
        </w:tc>
        <w:tc>
          <w:tcPr>
            <w:tcW w:w="517" w:type="pct"/>
            <w:vMerge w:val="continue"/>
            <w:tcBorders>
              <w:top w:val="nil"/>
              <w:left w:val="single" w:color="auto" w:sz="4" w:space="0"/>
              <w:bottom w:val="single" w:color="auto" w:sz="4" w:space="0"/>
              <w:right w:val="single" w:color="auto" w:sz="4" w:space="0"/>
            </w:tcBorders>
            <w:vAlign w:val="center"/>
          </w:tcPr>
          <w:p w14:paraId="706E8E76">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5C5C4A03">
            <w:pPr>
              <w:spacing w:line="240" w:lineRule="auto"/>
              <w:jc w:val="left"/>
              <w:rPr>
                <w:kern w:val="0"/>
                <w:sz w:val="21"/>
                <w:szCs w:val="21"/>
              </w:rPr>
            </w:pPr>
          </w:p>
        </w:tc>
        <w:tc>
          <w:tcPr>
            <w:tcW w:w="367" w:type="pct"/>
            <w:tcBorders>
              <w:top w:val="single" w:color="auto" w:sz="4" w:space="0"/>
              <w:left w:val="single" w:color="auto" w:sz="4" w:space="0"/>
              <w:bottom w:val="single" w:color="auto" w:sz="4" w:space="0"/>
              <w:right w:val="single" w:color="auto" w:sz="4" w:space="0"/>
            </w:tcBorders>
            <w:vAlign w:val="center"/>
          </w:tcPr>
          <w:p w14:paraId="5B904CC0">
            <w:pPr>
              <w:autoSpaceDE w:val="0"/>
              <w:spacing w:line="240" w:lineRule="auto"/>
              <w:jc w:val="center"/>
              <w:rPr>
                <w:kern w:val="0"/>
              </w:rPr>
            </w:pPr>
            <w:r>
              <w:rPr>
                <w:kern w:val="0"/>
              </w:rPr>
              <w:t>232</w:t>
            </w:r>
          </w:p>
        </w:tc>
        <w:tc>
          <w:tcPr>
            <w:tcW w:w="547" w:type="pct"/>
            <w:tcBorders>
              <w:top w:val="single" w:color="auto" w:sz="4" w:space="0"/>
              <w:left w:val="single" w:color="auto" w:sz="4" w:space="0"/>
              <w:bottom w:val="single" w:color="auto" w:sz="4" w:space="0"/>
              <w:right w:val="single" w:color="auto" w:sz="4" w:space="0"/>
            </w:tcBorders>
            <w:vAlign w:val="center"/>
          </w:tcPr>
          <w:p w14:paraId="49DD3EA9">
            <w:pPr>
              <w:autoSpaceDE w:val="0"/>
              <w:spacing w:line="240" w:lineRule="auto"/>
              <w:jc w:val="center"/>
              <w:rPr>
                <w:kern w:val="0"/>
              </w:rPr>
            </w:pPr>
            <w:r>
              <w:rPr>
                <w:kern w:val="0"/>
              </w:rPr>
              <w:t>154</w:t>
            </w:r>
          </w:p>
        </w:tc>
        <w:tc>
          <w:tcPr>
            <w:tcW w:w="547" w:type="pct"/>
            <w:vMerge w:val="continue"/>
            <w:tcBorders>
              <w:top w:val="nil"/>
              <w:left w:val="single" w:color="auto" w:sz="4" w:space="0"/>
              <w:bottom w:val="single" w:color="auto" w:sz="4" w:space="0"/>
              <w:right w:val="single" w:color="auto" w:sz="4" w:space="0"/>
            </w:tcBorders>
            <w:vAlign w:val="center"/>
          </w:tcPr>
          <w:p w14:paraId="47B9BC3A">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3B76C6F3">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56BB35DD">
            <w:pPr>
              <w:spacing w:line="240" w:lineRule="auto"/>
              <w:jc w:val="left"/>
              <w:rPr>
                <w:kern w:val="0"/>
                <w:sz w:val="21"/>
                <w:szCs w:val="21"/>
              </w:rPr>
            </w:pPr>
          </w:p>
        </w:tc>
        <w:tc>
          <w:tcPr>
            <w:tcW w:w="547" w:type="pct"/>
            <w:tcBorders>
              <w:top w:val="single" w:color="auto" w:sz="4" w:space="0"/>
              <w:left w:val="single" w:color="auto" w:sz="4" w:space="0"/>
              <w:bottom w:val="single" w:color="auto" w:sz="4" w:space="0"/>
              <w:right w:val="single" w:color="auto" w:sz="4" w:space="0"/>
            </w:tcBorders>
            <w:vAlign w:val="center"/>
          </w:tcPr>
          <w:p w14:paraId="670E341A">
            <w:pPr>
              <w:autoSpaceDE w:val="0"/>
              <w:spacing w:line="240" w:lineRule="auto"/>
              <w:jc w:val="center"/>
              <w:rPr>
                <w:kern w:val="0"/>
              </w:rPr>
            </w:pPr>
            <w:r>
              <w:rPr>
                <w:kern w:val="0"/>
              </w:rPr>
              <w:t>5.40</w:t>
            </w:r>
          </w:p>
        </w:tc>
      </w:tr>
      <w:tr w14:paraId="0FA00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367" w:type="pct"/>
            <w:tcBorders>
              <w:top w:val="single" w:color="auto" w:sz="4" w:space="0"/>
              <w:left w:val="single" w:color="auto" w:sz="4" w:space="0"/>
              <w:bottom w:val="single" w:color="auto" w:sz="4" w:space="0"/>
              <w:right w:val="single" w:color="auto" w:sz="4" w:space="0"/>
            </w:tcBorders>
            <w:vAlign w:val="center"/>
          </w:tcPr>
          <w:p w14:paraId="229E5054">
            <w:pPr>
              <w:autoSpaceDE w:val="0"/>
              <w:spacing w:line="240" w:lineRule="auto"/>
              <w:jc w:val="center"/>
              <w:rPr>
                <w:kern w:val="0"/>
              </w:rPr>
            </w:pPr>
            <w:r>
              <w:rPr>
                <w:kern w:val="0"/>
              </w:rPr>
              <w:t>4</w:t>
            </w:r>
          </w:p>
        </w:tc>
        <w:tc>
          <w:tcPr>
            <w:tcW w:w="367" w:type="pct"/>
            <w:vMerge w:val="continue"/>
            <w:tcBorders>
              <w:top w:val="nil"/>
              <w:left w:val="single" w:color="auto" w:sz="4" w:space="0"/>
              <w:bottom w:val="single" w:color="auto" w:sz="4" w:space="0"/>
              <w:right w:val="single" w:color="auto" w:sz="4" w:space="0"/>
            </w:tcBorders>
            <w:vAlign w:val="center"/>
          </w:tcPr>
          <w:p w14:paraId="2E7C5BA4">
            <w:pPr>
              <w:spacing w:line="240" w:lineRule="auto"/>
              <w:jc w:val="left"/>
              <w:rPr>
                <w:kern w:val="0"/>
                <w:sz w:val="21"/>
                <w:szCs w:val="21"/>
              </w:rPr>
            </w:pPr>
          </w:p>
        </w:tc>
        <w:tc>
          <w:tcPr>
            <w:tcW w:w="907" w:type="pct"/>
            <w:tcBorders>
              <w:top w:val="single" w:color="auto" w:sz="4" w:space="0"/>
              <w:left w:val="single" w:color="auto" w:sz="4" w:space="0"/>
              <w:bottom w:val="single" w:color="auto" w:sz="4" w:space="0"/>
              <w:right w:val="single" w:color="auto" w:sz="4" w:space="0"/>
            </w:tcBorders>
            <w:vAlign w:val="center"/>
          </w:tcPr>
          <w:p w14:paraId="73D47419">
            <w:pPr>
              <w:autoSpaceDE w:val="0"/>
              <w:spacing w:line="240" w:lineRule="auto"/>
              <w:jc w:val="center"/>
              <w:rPr>
                <w:kern w:val="0"/>
              </w:rPr>
            </w:pPr>
            <w:r>
              <w:rPr>
                <w:kern w:val="0"/>
              </w:rPr>
              <w:t>50</w:t>
            </w:r>
          </w:p>
        </w:tc>
        <w:tc>
          <w:tcPr>
            <w:tcW w:w="517" w:type="pct"/>
            <w:vMerge w:val="continue"/>
            <w:tcBorders>
              <w:top w:val="nil"/>
              <w:left w:val="single" w:color="auto" w:sz="4" w:space="0"/>
              <w:bottom w:val="single" w:color="auto" w:sz="4" w:space="0"/>
              <w:right w:val="single" w:color="auto" w:sz="4" w:space="0"/>
            </w:tcBorders>
            <w:vAlign w:val="center"/>
          </w:tcPr>
          <w:p w14:paraId="3876D4E6">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41D25219">
            <w:pPr>
              <w:spacing w:line="240" w:lineRule="auto"/>
              <w:jc w:val="left"/>
              <w:rPr>
                <w:kern w:val="0"/>
                <w:sz w:val="21"/>
                <w:szCs w:val="21"/>
              </w:rPr>
            </w:pPr>
          </w:p>
        </w:tc>
        <w:tc>
          <w:tcPr>
            <w:tcW w:w="367" w:type="pct"/>
            <w:tcBorders>
              <w:top w:val="single" w:color="auto" w:sz="4" w:space="0"/>
              <w:left w:val="single" w:color="auto" w:sz="4" w:space="0"/>
              <w:bottom w:val="single" w:color="auto" w:sz="4" w:space="0"/>
              <w:right w:val="single" w:color="auto" w:sz="4" w:space="0"/>
            </w:tcBorders>
            <w:vAlign w:val="center"/>
          </w:tcPr>
          <w:p w14:paraId="3CA45B0E">
            <w:pPr>
              <w:autoSpaceDE w:val="0"/>
              <w:spacing w:line="240" w:lineRule="auto"/>
              <w:jc w:val="center"/>
              <w:rPr>
                <w:kern w:val="0"/>
              </w:rPr>
            </w:pPr>
            <w:r>
              <w:rPr>
                <w:kern w:val="0"/>
              </w:rPr>
              <w:t>193</w:t>
            </w:r>
          </w:p>
        </w:tc>
        <w:tc>
          <w:tcPr>
            <w:tcW w:w="547" w:type="pct"/>
            <w:tcBorders>
              <w:top w:val="single" w:color="auto" w:sz="4" w:space="0"/>
              <w:left w:val="single" w:color="auto" w:sz="4" w:space="0"/>
              <w:bottom w:val="single" w:color="auto" w:sz="4" w:space="0"/>
              <w:right w:val="single" w:color="auto" w:sz="4" w:space="0"/>
            </w:tcBorders>
            <w:vAlign w:val="center"/>
          </w:tcPr>
          <w:p w14:paraId="0845F6FD">
            <w:pPr>
              <w:autoSpaceDE w:val="0"/>
              <w:spacing w:line="240" w:lineRule="auto"/>
              <w:jc w:val="center"/>
              <w:rPr>
                <w:kern w:val="0"/>
              </w:rPr>
            </w:pPr>
            <w:r>
              <w:rPr>
                <w:kern w:val="0"/>
              </w:rPr>
              <w:t>193</w:t>
            </w:r>
          </w:p>
        </w:tc>
        <w:tc>
          <w:tcPr>
            <w:tcW w:w="547" w:type="pct"/>
            <w:vMerge w:val="continue"/>
            <w:tcBorders>
              <w:top w:val="nil"/>
              <w:left w:val="single" w:color="auto" w:sz="4" w:space="0"/>
              <w:bottom w:val="single" w:color="auto" w:sz="4" w:space="0"/>
              <w:right w:val="single" w:color="auto" w:sz="4" w:space="0"/>
            </w:tcBorders>
            <w:vAlign w:val="center"/>
          </w:tcPr>
          <w:p w14:paraId="7F2105A6">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30E2A4EC">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01DDAFB4">
            <w:pPr>
              <w:spacing w:line="240" w:lineRule="auto"/>
              <w:jc w:val="left"/>
              <w:rPr>
                <w:kern w:val="0"/>
                <w:sz w:val="21"/>
                <w:szCs w:val="21"/>
              </w:rPr>
            </w:pPr>
          </w:p>
        </w:tc>
        <w:tc>
          <w:tcPr>
            <w:tcW w:w="547" w:type="pct"/>
            <w:tcBorders>
              <w:top w:val="single" w:color="auto" w:sz="4" w:space="0"/>
              <w:left w:val="single" w:color="auto" w:sz="4" w:space="0"/>
              <w:bottom w:val="single" w:color="auto" w:sz="4" w:space="0"/>
              <w:right w:val="single" w:color="auto" w:sz="4" w:space="0"/>
            </w:tcBorders>
            <w:vAlign w:val="center"/>
          </w:tcPr>
          <w:p w14:paraId="30AA482F">
            <w:pPr>
              <w:autoSpaceDE w:val="0"/>
              <w:spacing w:line="240" w:lineRule="auto"/>
              <w:jc w:val="center"/>
              <w:rPr>
                <w:kern w:val="0"/>
              </w:rPr>
            </w:pPr>
            <w:r>
              <w:rPr>
                <w:kern w:val="0"/>
              </w:rPr>
              <w:t>5.40</w:t>
            </w:r>
          </w:p>
        </w:tc>
      </w:tr>
      <w:tr w14:paraId="1509F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367" w:type="pct"/>
            <w:tcBorders>
              <w:top w:val="single" w:color="auto" w:sz="4" w:space="0"/>
              <w:left w:val="single" w:color="auto" w:sz="4" w:space="0"/>
              <w:bottom w:val="single" w:color="auto" w:sz="4" w:space="0"/>
              <w:right w:val="single" w:color="auto" w:sz="4" w:space="0"/>
            </w:tcBorders>
            <w:vAlign w:val="center"/>
          </w:tcPr>
          <w:p w14:paraId="09D1990C">
            <w:pPr>
              <w:autoSpaceDE w:val="0"/>
              <w:spacing w:line="240" w:lineRule="auto"/>
              <w:jc w:val="center"/>
              <w:rPr>
                <w:kern w:val="0"/>
              </w:rPr>
            </w:pPr>
            <w:r>
              <w:rPr>
                <w:kern w:val="0"/>
              </w:rPr>
              <w:t>5</w:t>
            </w:r>
          </w:p>
        </w:tc>
        <w:tc>
          <w:tcPr>
            <w:tcW w:w="367" w:type="pct"/>
            <w:vMerge w:val="restart"/>
            <w:tcBorders>
              <w:top w:val="nil"/>
              <w:left w:val="single" w:color="auto" w:sz="4" w:space="0"/>
              <w:bottom w:val="single" w:color="auto" w:sz="4" w:space="0"/>
              <w:right w:val="single" w:color="auto" w:sz="4" w:space="0"/>
            </w:tcBorders>
            <w:vAlign w:val="center"/>
          </w:tcPr>
          <w:p w14:paraId="48E929BD">
            <w:pPr>
              <w:autoSpaceDE w:val="0"/>
              <w:spacing w:line="240" w:lineRule="auto"/>
              <w:jc w:val="center"/>
              <w:rPr>
                <w:kern w:val="0"/>
              </w:rPr>
            </w:pPr>
            <w:r>
              <w:rPr>
                <w:kern w:val="0"/>
              </w:rPr>
              <w:t>C45</w:t>
            </w:r>
          </w:p>
        </w:tc>
        <w:tc>
          <w:tcPr>
            <w:tcW w:w="907" w:type="pct"/>
            <w:tcBorders>
              <w:top w:val="single" w:color="auto" w:sz="4" w:space="0"/>
              <w:left w:val="single" w:color="auto" w:sz="4" w:space="0"/>
              <w:bottom w:val="single" w:color="auto" w:sz="4" w:space="0"/>
              <w:right w:val="single" w:color="auto" w:sz="4" w:space="0"/>
            </w:tcBorders>
            <w:vAlign w:val="center"/>
          </w:tcPr>
          <w:p w14:paraId="33F32355">
            <w:pPr>
              <w:autoSpaceDE w:val="0"/>
              <w:spacing w:line="240" w:lineRule="auto"/>
              <w:jc w:val="center"/>
              <w:rPr>
                <w:kern w:val="0"/>
              </w:rPr>
            </w:pPr>
            <w:r>
              <w:rPr>
                <w:kern w:val="0"/>
              </w:rPr>
              <w:t>19</w:t>
            </w:r>
          </w:p>
        </w:tc>
        <w:tc>
          <w:tcPr>
            <w:tcW w:w="517" w:type="pct"/>
            <w:vMerge w:val="restart"/>
            <w:tcBorders>
              <w:top w:val="nil"/>
              <w:left w:val="single" w:color="auto" w:sz="4" w:space="0"/>
              <w:bottom w:val="single" w:color="auto" w:sz="4" w:space="0"/>
              <w:right w:val="single" w:color="auto" w:sz="4" w:space="0"/>
            </w:tcBorders>
            <w:vAlign w:val="center"/>
          </w:tcPr>
          <w:p w14:paraId="119F4E65">
            <w:pPr>
              <w:autoSpaceDE w:val="0"/>
              <w:spacing w:line="240" w:lineRule="auto"/>
              <w:jc w:val="center"/>
              <w:rPr>
                <w:kern w:val="0"/>
              </w:rPr>
            </w:pPr>
            <w:r>
              <w:rPr>
                <w:kern w:val="0"/>
              </w:rPr>
              <w:t>40</w:t>
            </w:r>
          </w:p>
        </w:tc>
        <w:tc>
          <w:tcPr>
            <w:tcW w:w="277" w:type="pct"/>
            <w:vMerge w:val="restart"/>
            <w:tcBorders>
              <w:top w:val="nil"/>
              <w:left w:val="single" w:color="auto" w:sz="4" w:space="0"/>
              <w:bottom w:val="single" w:color="auto" w:sz="4" w:space="0"/>
              <w:right w:val="single" w:color="auto" w:sz="4" w:space="0"/>
            </w:tcBorders>
            <w:vAlign w:val="center"/>
          </w:tcPr>
          <w:p w14:paraId="278F3C5A">
            <w:pPr>
              <w:autoSpaceDE w:val="0"/>
              <w:spacing w:line="240" w:lineRule="auto"/>
              <w:jc w:val="center"/>
              <w:rPr>
                <w:kern w:val="0"/>
              </w:rPr>
            </w:pPr>
            <w:r>
              <w:rPr>
                <w:kern w:val="0"/>
              </w:rPr>
              <w:t>168</w:t>
            </w:r>
          </w:p>
        </w:tc>
        <w:tc>
          <w:tcPr>
            <w:tcW w:w="367" w:type="pct"/>
            <w:tcBorders>
              <w:top w:val="single" w:color="auto" w:sz="4" w:space="0"/>
              <w:left w:val="single" w:color="auto" w:sz="4" w:space="0"/>
              <w:bottom w:val="single" w:color="auto" w:sz="4" w:space="0"/>
              <w:right w:val="single" w:color="auto" w:sz="4" w:space="0"/>
            </w:tcBorders>
            <w:vAlign w:val="center"/>
          </w:tcPr>
          <w:p w14:paraId="3D0B235C">
            <w:pPr>
              <w:autoSpaceDE w:val="0"/>
              <w:spacing w:line="240" w:lineRule="auto"/>
              <w:jc w:val="center"/>
              <w:rPr>
                <w:kern w:val="0"/>
              </w:rPr>
            </w:pPr>
            <w:r>
              <w:rPr>
                <w:kern w:val="0"/>
              </w:rPr>
              <w:t>425</w:t>
            </w:r>
          </w:p>
        </w:tc>
        <w:tc>
          <w:tcPr>
            <w:tcW w:w="547" w:type="pct"/>
            <w:tcBorders>
              <w:top w:val="single" w:color="auto" w:sz="4" w:space="0"/>
              <w:left w:val="single" w:color="auto" w:sz="4" w:space="0"/>
              <w:bottom w:val="single" w:color="auto" w:sz="4" w:space="0"/>
              <w:right w:val="single" w:color="auto" w:sz="4" w:space="0"/>
            </w:tcBorders>
            <w:vAlign w:val="center"/>
          </w:tcPr>
          <w:p w14:paraId="6F585204">
            <w:pPr>
              <w:autoSpaceDE w:val="0"/>
              <w:spacing w:line="240" w:lineRule="auto"/>
              <w:jc w:val="center"/>
              <w:rPr>
                <w:kern w:val="0"/>
              </w:rPr>
            </w:pPr>
            <w:r>
              <w:rPr>
                <w:kern w:val="0"/>
              </w:rPr>
              <w:t>100</w:t>
            </w:r>
          </w:p>
        </w:tc>
        <w:tc>
          <w:tcPr>
            <w:tcW w:w="547" w:type="pct"/>
            <w:vMerge w:val="restart"/>
            <w:tcBorders>
              <w:top w:val="nil"/>
              <w:left w:val="single" w:color="auto" w:sz="4" w:space="0"/>
              <w:bottom w:val="single" w:color="auto" w:sz="4" w:space="0"/>
              <w:right w:val="single" w:color="auto" w:sz="4" w:space="0"/>
            </w:tcBorders>
            <w:vAlign w:val="center"/>
          </w:tcPr>
          <w:p w14:paraId="2A4F5C3D">
            <w:pPr>
              <w:autoSpaceDE w:val="0"/>
              <w:spacing w:line="240" w:lineRule="auto"/>
              <w:jc w:val="center"/>
              <w:rPr>
                <w:kern w:val="0"/>
              </w:rPr>
            </w:pPr>
            <w:r>
              <w:rPr>
                <w:kern w:val="0"/>
              </w:rPr>
              <w:t>683</w:t>
            </w:r>
          </w:p>
        </w:tc>
        <w:tc>
          <w:tcPr>
            <w:tcW w:w="277" w:type="pct"/>
            <w:vMerge w:val="restart"/>
            <w:tcBorders>
              <w:top w:val="nil"/>
              <w:left w:val="single" w:color="auto" w:sz="4" w:space="0"/>
              <w:bottom w:val="single" w:color="auto" w:sz="4" w:space="0"/>
              <w:right w:val="single" w:color="auto" w:sz="4" w:space="0"/>
            </w:tcBorders>
            <w:vAlign w:val="center"/>
          </w:tcPr>
          <w:p w14:paraId="41926282">
            <w:pPr>
              <w:autoSpaceDE w:val="0"/>
              <w:spacing w:line="240" w:lineRule="auto"/>
              <w:jc w:val="center"/>
              <w:rPr>
                <w:kern w:val="0"/>
              </w:rPr>
            </w:pPr>
            <w:r>
              <w:rPr>
                <w:kern w:val="0"/>
              </w:rPr>
              <w:t>491</w:t>
            </w:r>
          </w:p>
        </w:tc>
        <w:tc>
          <w:tcPr>
            <w:tcW w:w="277" w:type="pct"/>
            <w:vMerge w:val="restart"/>
            <w:tcBorders>
              <w:top w:val="nil"/>
              <w:left w:val="single" w:color="auto" w:sz="4" w:space="0"/>
              <w:bottom w:val="single" w:color="auto" w:sz="4" w:space="0"/>
              <w:right w:val="single" w:color="auto" w:sz="4" w:space="0"/>
            </w:tcBorders>
            <w:vAlign w:val="center"/>
          </w:tcPr>
          <w:p w14:paraId="27D9E09B">
            <w:pPr>
              <w:autoSpaceDE w:val="0"/>
              <w:spacing w:line="240" w:lineRule="auto"/>
              <w:jc w:val="center"/>
              <w:rPr>
                <w:kern w:val="0"/>
              </w:rPr>
            </w:pPr>
            <w:r>
              <w:rPr>
                <w:kern w:val="0"/>
              </w:rPr>
              <w:t>491</w:t>
            </w:r>
          </w:p>
        </w:tc>
        <w:tc>
          <w:tcPr>
            <w:tcW w:w="547" w:type="pct"/>
            <w:tcBorders>
              <w:top w:val="single" w:color="auto" w:sz="4" w:space="0"/>
              <w:left w:val="single" w:color="auto" w:sz="4" w:space="0"/>
              <w:bottom w:val="single" w:color="auto" w:sz="4" w:space="0"/>
              <w:right w:val="single" w:color="auto" w:sz="4" w:space="0"/>
            </w:tcBorders>
            <w:vAlign w:val="center"/>
          </w:tcPr>
          <w:p w14:paraId="6C8A69CE">
            <w:pPr>
              <w:autoSpaceDE w:val="0"/>
              <w:spacing w:line="240" w:lineRule="auto"/>
              <w:jc w:val="center"/>
              <w:rPr>
                <w:kern w:val="0"/>
              </w:rPr>
            </w:pPr>
            <w:r>
              <w:rPr>
                <w:kern w:val="0"/>
              </w:rPr>
              <w:t>9.45</w:t>
            </w:r>
          </w:p>
        </w:tc>
      </w:tr>
      <w:tr w14:paraId="347EE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367" w:type="pct"/>
            <w:tcBorders>
              <w:top w:val="single" w:color="auto" w:sz="4" w:space="0"/>
              <w:left w:val="single" w:color="auto" w:sz="4" w:space="0"/>
              <w:bottom w:val="single" w:color="auto" w:sz="4" w:space="0"/>
              <w:right w:val="single" w:color="auto" w:sz="4" w:space="0"/>
            </w:tcBorders>
            <w:vAlign w:val="center"/>
          </w:tcPr>
          <w:p w14:paraId="3AAEB7CD">
            <w:pPr>
              <w:autoSpaceDE w:val="0"/>
              <w:spacing w:line="240" w:lineRule="auto"/>
              <w:jc w:val="center"/>
              <w:rPr>
                <w:kern w:val="0"/>
              </w:rPr>
            </w:pPr>
            <w:r>
              <w:rPr>
                <w:kern w:val="0"/>
              </w:rPr>
              <w:t>6</w:t>
            </w:r>
          </w:p>
        </w:tc>
        <w:tc>
          <w:tcPr>
            <w:tcW w:w="367" w:type="pct"/>
            <w:vMerge w:val="continue"/>
            <w:tcBorders>
              <w:top w:val="nil"/>
              <w:left w:val="single" w:color="auto" w:sz="4" w:space="0"/>
              <w:bottom w:val="single" w:color="auto" w:sz="4" w:space="0"/>
              <w:right w:val="single" w:color="auto" w:sz="4" w:space="0"/>
            </w:tcBorders>
            <w:vAlign w:val="center"/>
          </w:tcPr>
          <w:p w14:paraId="5BCDF45C">
            <w:pPr>
              <w:spacing w:line="240" w:lineRule="auto"/>
              <w:jc w:val="left"/>
              <w:rPr>
                <w:kern w:val="0"/>
                <w:sz w:val="21"/>
                <w:szCs w:val="21"/>
              </w:rPr>
            </w:pPr>
          </w:p>
        </w:tc>
        <w:tc>
          <w:tcPr>
            <w:tcW w:w="907" w:type="pct"/>
            <w:tcBorders>
              <w:top w:val="single" w:color="auto" w:sz="4" w:space="0"/>
              <w:left w:val="single" w:color="auto" w:sz="4" w:space="0"/>
              <w:bottom w:val="single" w:color="auto" w:sz="4" w:space="0"/>
              <w:right w:val="single" w:color="auto" w:sz="4" w:space="0"/>
            </w:tcBorders>
            <w:vAlign w:val="center"/>
          </w:tcPr>
          <w:p w14:paraId="072452CE">
            <w:pPr>
              <w:autoSpaceDE w:val="0"/>
              <w:spacing w:line="240" w:lineRule="auto"/>
              <w:jc w:val="center"/>
              <w:rPr>
                <w:kern w:val="0"/>
              </w:rPr>
            </w:pPr>
            <w:r>
              <w:rPr>
                <w:kern w:val="0"/>
              </w:rPr>
              <w:t>30</w:t>
            </w:r>
          </w:p>
        </w:tc>
        <w:tc>
          <w:tcPr>
            <w:tcW w:w="517" w:type="pct"/>
            <w:vMerge w:val="continue"/>
            <w:tcBorders>
              <w:top w:val="nil"/>
              <w:left w:val="single" w:color="auto" w:sz="4" w:space="0"/>
              <w:bottom w:val="single" w:color="auto" w:sz="4" w:space="0"/>
              <w:right w:val="single" w:color="auto" w:sz="4" w:space="0"/>
            </w:tcBorders>
            <w:vAlign w:val="center"/>
          </w:tcPr>
          <w:p w14:paraId="17895319">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0A45AAA5">
            <w:pPr>
              <w:spacing w:line="240" w:lineRule="auto"/>
              <w:jc w:val="left"/>
              <w:rPr>
                <w:kern w:val="0"/>
                <w:sz w:val="21"/>
                <w:szCs w:val="21"/>
              </w:rPr>
            </w:pPr>
          </w:p>
        </w:tc>
        <w:tc>
          <w:tcPr>
            <w:tcW w:w="367" w:type="pct"/>
            <w:tcBorders>
              <w:top w:val="single" w:color="auto" w:sz="4" w:space="0"/>
              <w:left w:val="single" w:color="auto" w:sz="4" w:space="0"/>
              <w:bottom w:val="single" w:color="auto" w:sz="4" w:space="0"/>
              <w:right w:val="single" w:color="auto" w:sz="4" w:space="0"/>
            </w:tcBorders>
            <w:vAlign w:val="center"/>
          </w:tcPr>
          <w:p w14:paraId="2DB03723">
            <w:pPr>
              <w:autoSpaceDE w:val="0"/>
              <w:spacing w:line="240" w:lineRule="auto"/>
              <w:jc w:val="center"/>
              <w:rPr>
                <w:kern w:val="0"/>
              </w:rPr>
            </w:pPr>
            <w:r>
              <w:rPr>
                <w:kern w:val="0"/>
              </w:rPr>
              <w:t>368</w:t>
            </w:r>
          </w:p>
        </w:tc>
        <w:tc>
          <w:tcPr>
            <w:tcW w:w="547" w:type="pct"/>
            <w:tcBorders>
              <w:top w:val="single" w:color="auto" w:sz="4" w:space="0"/>
              <w:left w:val="single" w:color="auto" w:sz="4" w:space="0"/>
              <w:bottom w:val="single" w:color="auto" w:sz="4" w:space="0"/>
              <w:right w:val="single" w:color="auto" w:sz="4" w:space="0"/>
            </w:tcBorders>
            <w:vAlign w:val="center"/>
          </w:tcPr>
          <w:p w14:paraId="5C400039">
            <w:pPr>
              <w:autoSpaceDE w:val="0"/>
              <w:spacing w:line="240" w:lineRule="auto"/>
              <w:jc w:val="center"/>
              <w:rPr>
                <w:kern w:val="0"/>
              </w:rPr>
            </w:pPr>
            <w:r>
              <w:rPr>
                <w:kern w:val="0"/>
              </w:rPr>
              <w:t>158</w:t>
            </w:r>
          </w:p>
        </w:tc>
        <w:tc>
          <w:tcPr>
            <w:tcW w:w="547" w:type="pct"/>
            <w:vMerge w:val="continue"/>
            <w:tcBorders>
              <w:top w:val="nil"/>
              <w:left w:val="single" w:color="auto" w:sz="4" w:space="0"/>
              <w:bottom w:val="single" w:color="auto" w:sz="4" w:space="0"/>
              <w:right w:val="single" w:color="auto" w:sz="4" w:space="0"/>
            </w:tcBorders>
            <w:vAlign w:val="center"/>
          </w:tcPr>
          <w:p w14:paraId="1E5561A0">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4C8F0593">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25D5B910">
            <w:pPr>
              <w:spacing w:line="240" w:lineRule="auto"/>
              <w:jc w:val="left"/>
              <w:rPr>
                <w:kern w:val="0"/>
                <w:sz w:val="21"/>
                <w:szCs w:val="21"/>
              </w:rPr>
            </w:pPr>
          </w:p>
        </w:tc>
        <w:tc>
          <w:tcPr>
            <w:tcW w:w="547" w:type="pct"/>
            <w:tcBorders>
              <w:top w:val="single" w:color="auto" w:sz="4" w:space="0"/>
              <w:left w:val="single" w:color="auto" w:sz="4" w:space="0"/>
              <w:bottom w:val="single" w:color="auto" w:sz="4" w:space="0"/>
              <w:right w:val="single" w:color="auto" w:sz="4" w:space="0"/>
            </w:tcBorders>
            <w:vAlign w:val="center"/>
          </w:tcPr>
          <w:p w14:paraId="13295A6E">
            <w:pPr>
              <w:autoSpaceDE w:val="0"/>
              <w:spacing w:line="240" w:lineRule="auto"/>
              <w:jc w:val="center"/>
              <w:rPr>
                <w:kern w:val="0"/>
              </w:rPr>
            </w:pPr>
            <w:r>
              <w:rPr>
                <w:kern w:val="0"/>
              </w:rPr>
              <w:t>8.42</w:t>
            </w:r>
          </w:p>
        </w:tc>
      </w:tr>
      <w:tr w14:paraId="0454B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367" w:type="pct"/>
            <w:tcBorders>
              <w:top w:val="single" w:color="auto" w:sz="4" w:space="0"/>
              <w:left w:val="single" w:color="auto" w:sz="4" w:space="0"/>
              <w:bottom w:val="single" w:color="auto" w:sz="4" w:space="0"/>
              <w:right w:val="single" w:color="auto" w:sz="4" w:space="0"/>
            </w:tcBorders>
            <w:vAlign w:val="center"/>
          </w:tcPr>
          <w:p w14:paraId="03D4A944">
            <w:pPr>
              <w:autoSpaceDE w:val="0"/>
              <w:spacing w:line="240" w:lineRule="auto"/>
              <w:jc w:val="center"/>
              <w:rPr>
                <w:kern w:val="0"/>
              </w:rPr>
            </w:pPr>
            <w:r>
              <w:rPr>
                <w:kern w:val="0"/>
              </w:rPr>
              <w:t>7</w:t>
            </w:r>
          </w:p>
        </w:tc>
        <w:tc>
          <w:tcPr>
            <w:tcW w:w="367" w:type="pct"/>
            <w:vMerge w:val="continue"/>
            <w:tcBorders>
              <w:top w:val="nil"/>
              <w:left w:val="single" w:color="auto" w:sz="4" w:space="0"/>
              <w:bottom w:val="single" w:color="auto" w:sz="4" w:space="0"/>
              <w:right w:val="single" w:color="auto" w:sz="4" w:space="0"/>
            </w:tcBorders>
            <w:vAlign w:val="center"/>
          </w:tcPr>
          <w:p w14:paraId="106E53E6">
            <w:pPr>
              <w:spacing w:line="240" w:lineRule="auto"/>
              <w:jc w:val="left"/>
              <w:rPr>
                <w:kern w:val="0"/>
                <w:sz w:val="21"/>
                <w:szCs w:val="21"/>
              </w:rPr>
            </w:pPr>
          </w:p>
        </w:tc>
        <w:tc>
          <w:tcPr>
            <w:tcW w:w="907" w:type="pct"/>
            <w:tcBorders>
              <w:top w:val="single" w:color="auto" w:sz="4" w:space="0"/>
              <w:left w:val="single" w:color="auto" w:sz="4" w:space="0"/>
              <w:bottom w:val="single" w:color="auto" w:sz="4" w:space="0"/>
              <w:right w:val="single" w:color="auto" w:sz="4" w:space="0"/>
            </w:tcBorders>
            <w:vAlign w:val="center"/>
          </w:tcPr>
          <w:p w14:paraId="739548E3">
            <w:pPr>
              <w:autoSpaceDE w:val="0"/>
              <w:spacing w:line="240" w:lineRule="auto"/>
              <w:jc w:val="center"/>
              <w:rPr>
                <w:kern w:val="0"/>
              </w:rPr>
            </w:pPr>
            <w:r>
              <w:rPr>
                <w:kern w:val="0"/>
              </w:rPr>
              <w:t>40</w:t>
            </w:r>
          </w:p>
        </w:tc>
        <w:tc>
          <w:tcPr>
            <w:tcW w:w="517" w:type="pct"/>
            <w:vMerge w:val="continue"/>
            <w:tcBorders>
              <w:top w:val="nil"/>
              <w:left w:val="single" w:color="auto" w:sz="4" w:space="0"/>
              <w:bottom w:val="single" w:color="auto" w:sz="4" w:space="0"/>
              <w:right w:val="single" w:color="auto" w:sz="4" w:space="0"/>
            </w:tcBorders>
            <w:vAlign w:val="center"/>
          </w:tcPr>
          <w:p w14:paraId="411A1E5B">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220B667F">
            <w:pPr>
              <w:spacing w:line="240" w:lineRule="auto"/>
              <w:jc w:val="left"/>
              <w:rPr>
                <w:kern w:val="0"/>
                <w:sz w:val="21"/>
                <w:szCs w:val="21"/>
              </w:rPr>
            </w:pPr>
          </w:p>
        </w:tc>
        <w:tc>
          <w:tcPr>
            <w:tcW w:w="367" w:type="pct"/>
            <w:tcBorders>
              <w:top w:val="single" w:color="auto" w:sz="4" w:space="0"/>
              <w:left w:val="single" w:color="auto" w:sz="4" w:space="0"/>
              <w:bottom w:val="single" w:color="auto" w:sz="4" w:space="0"/>
              <w:right w:val="single" w:color="auto" w:sz="4" w:space="0"/>
            </w:tcBorders>
            <w:vAlign w:val="center"/>
          </w:tcPr>
          <w:p w14:paraId="2A67DD05">
            <w:pPr>
              <w:autoSpaceDE w:val="0"/>
              <w:spacing w:line="240" w:lineRule="auto"/>
              <w:jc w:val="center"/>
              <w:rPr>
                <w:kern w:val="0"/>
              </w:rPr>
            </w:pPr>
            <w:r>
              <w:rPr>
                <w:kern w:val="0"/>
              </w:rPr>
              <w:t>315</w:t>
            </w:r>
          </w:p>
        </w:tc>
        <w:tc>
          <w:tcPr>
            <w:tcW w:w="547" w:type="pct"/>
            <w:tcBorders>
              <w:top w:val="single" w:color="auto" w:sz="4" w:space="0"/>
              <w:left w:val="single" w:color="auto" w:sz="4" w:space="0"/>
              <w:bottom w:val="single" w:color="auto" w:sz="4" w:space="0"/>
              <w:right w:val="single" w:color="auto" w:sz="4" w:space="0"/>
            </w:tcBorders>
            <w:vAlign w:val="center"/>
          </w:tcPr>
          <w:p w14:paraId="6D96DC36">
            <w:pPr>
              <w:autoSpaceDE w:val="0"/>
              <w:spacing w:line="240" w:lineRule="auto"/>
              <w:jc w:val="center"/>
              <w:rPr>
                <w:kern w:val="0"/>
              </w:rPr>
            </w:pPr>
            <w:r>
              <w:rPr>
                <w:kern w:val="0"/>
              </w:rPr>
              <w:t>210</w:t>
            </w:r>
          </w:p>
        </w:tc>
        <w:tc>
          <w:tcPr>
            <w:tcW w:w="547" w:type="pct"/>
            <w:vMerge w:val="continue"/>
            <w:tcBorders>
              <w:top w:val="nil"/>
              <w:left w:val="single" w:color="auto" w:sz="4" w:space="0"/>
              <w:bottom w:val="single" w:color="auto" w:sz="4" w:space="0"/>
              <w:right w:val="single" w:color="auto" w:sz="4" w:space="0"/>
            </w:tcBorders>
            <w:vAlign w:val="center"/>
          </w:tcPr>
          <w:p w14:paraId="4F8AE3D3">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1E52F82F">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7007F771">
            <w:pPr>
              <w:spacing w:line="240" w:lineRule="auto"/>
              <w:jc w:val="left"/>
              <w:rPr>
                <w:kern w:val="0"/>
                <w:sz w:val="21"/>
                <w:szCs w:val="21"/>
              </w:rPr>
            </w:pPr>
          </w:p>
        </w:tc>
        <w:tc>
          <w:tcPr>
            <w:tcW w:w="547" w:type="pct"/>
            <w:tcBorders>
              <w:top w:val="single" w:color="auto" w:sz="4" w:space="0"/>
              <w:left w:val="single" w:color="auto" w:sz="4" w:space="0"/>
              <w:bottom w:val="single" w:color="auto" w:sz="4" w:space="0"/>
              <w:right w:val="single" w:color="auto" w:sz="4" w:space="0"/>
            </w:tcBorders>
            <w:vAlign w:val="center"/>
          </w:tcPr>
          <w:p w14:paraId="7CAC981E">
            <w:pPr>
              <w:autoSpaceDE w:val="0"/>
              <w:spacing w:line="240" w:lineRule="auto"/>
              <w:jc w:val="center"/>
              <w:rPr>
                <w:kern w:val="0"/>
              </w:rPr>
            </w:pPr>
            <w:r>
              <w:rPr>
                <w:kern w:val="0"/>
              </w:rPr>
              <w:t>7.88</w:t>
            </w:r>
          </w:p>
        </w:tc>
      </w:tr>
      <w:tr w14:paraId="124CE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367" w:type="pct"/>
            <w:tcBorders>
              <w:top w:val="single" w:color="auto" w:sz="4" w:space="0"/>
              <w:left w:val="single" w:color="auto" w:sz="4" w:space="0"/>
              <w:bottom w:val="single" w:color="auto" w:sz="4" w:space="0"/>
              <w:right w:val="single" w:color="auto" w:sz="4" w:space="0"/>
            </w:tcBorders>
            <w:vAlign w:val="center"/>
          </w:tcPr>
          <w:p w14:paraId="4009FD50">
            <w:pPr>
              <w:autoSpaceDE w:val="0"/>
              <w:spacing w:line="240" w:lineRule="auto"/>
              <w:jc w:val="center"/>
              <w:rPr>
                <w:kern w:val="0"/>
              </w:rPr>
            </w:pPr>
            <w:r>
              <w:rPr>
                <w:kern w:val="0"/>
              </w:rPr>
              <w:t>8</w:t>
            </w:r>
          </w:p>
        </w:tc>
        <w:tc>
          <w:tcPr>
            <w:tcW w:w="367" w:type="pct"/>
            <w:vMerge w:val="continue"/>
            <w:tcBorders>
              <w:top w:val="nil"/>
              <w:left w:val="single" w:color="auto" w:sz="4" w:space="0"/>
              <w:bottom w:val="single" w:color="auto" w:sz="4" w:space="0"/>
              <w:right w:val="single" w:color="auto" w:sz="4" w:space="0"/>
            </w:tcBorders>
            <w:vAlign w:val="center"/>
          </w:tcPr>
          <w:p w14:paraId="5A47CF8F">
            <w:pPr>
              <w:spacing w:line="240" w:lineRule="auto"/>
              <w:jc w:val="left"/>
              <w:rPr>
                <w:kern w:val="0"/>
                <w:sz w:val="21"/>
                <w:szCs w:val="21"/>
              </w:rPr>
            </w:pPr>
          </w:p>
        </w:tc>
        <w:tc>
          <w:tcPr>
            <w:tcW w:w="907" w:type="pct"/>
            <w:tcBorders>
              <w:top w:val="single" w:color="auto" w:sz="4" w:space="0"/>
              <w:left w:val="single" w:color="auto" w:sz="4" w:space="0"/>
              <w:bottom w:val="single" w:color="auto" w:sz="4" w:space="0"/>
              <w:right w:val="single" w:color="auto" w:sz="4" w:space="0"/>
            </w:tcBorders>
            <w:vAlign w:val="center"/>
          </w:tcPr>
          <w:p w14:paraId="0FF29790">
            <w:pPr>
              <w:autoSpaceDE w:val="0"/>
              <w:spacing w:line="240" w:lineRule="auto"/>
              <w:jc w:val="center"/>
              <w:rPr>
                <w:kern w:val="0"/>
              </w:rPr>
            </w:pPr>
            <w:r>
              <w:rPr>
                <w:kern w:val="0"/>
              </w:rPr>
              <w:t>50</w:t>
            </w:r>
          </w:p>
        </w:tc>
        <w:tc>
          <w:tcPr>
            <w:tcW w:w="517" w:type="pct"/>
            <w:vMerge w:val="continue"/>
            <w:tcBorders>
              <w:top w:val="nil"/>
              <w:left w:val="single" w:color="auto" w:sz="4" w:space="0"/>
              <w:bottom w:val="single" w:color="auto" w:sz="4" w:space="0"/>
              <w:right w:val="single" w:color="auto" w:sz="4" w:space="0"/>
            </w:tcBorders>
            <w:vAlign w:val="center"/>
          </w:tcPr>
          <w:p w14:paraId="68AD3764">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5832ED7D">
            <w:pPr>
              <w:spacing w:line="240" w:lineRule="auto"/>
              <w:jc w:val="left"/>
              <w:rPr>
                <w:kern w:val="0"/>
                <w:sz w:val="21"/>
                <w:szCs w:val="21"/>
              </w:rPr>
            </w:pPr>
          </w:p>
        </w:tc>
        <w:tc>
          <w:tcPr>
            <w:tcW w:w="367" w:type="pct"/>
            <w:tcBorders>
              <w:top w:val="single" w:color="auto" w:sz="4" w:space="0"/>
              <w:left w:val="single" w:color="auto" w:sz="4" w:space="0"/>
              <w:bottom w:val="single" w:color="auto" w:sz="4" w:space="0"/>
              <w:right w:val="single" w:color="auto" w:sz="4" w:space="0"/>
            </w:tcBorders>
            <w:vAlign w:val="center"/>
          </w:tcPr>
          <w:p w14:paraId="34CDBF69">
            <w:pPr>
              <w:autoSpaceDE w:val="0"/>
              <w:spacing w:line="240" w:lineRule="auto"/>
              <w:jc w:val="center"/>
              <w:rPr>
                <w:kern w:val="0"/>
              </w:rPr>
            </w:pPr>
            <w:r>
              <w:rPr>
                <w:kern w:val="0"/>
              </w:rPr>
              <w:t>263</w:t>
            </w:r>
          </w:p>
        </w:tc>
        <w:tc>
          <w:tcPr>
            <w:tcW w:w="547" w:type="pct"/>
            <w:tcBorders>
              <w:top w:val="single" w:color="auto" w:sz="4" w:space="0"/>
              <w:left w:val="single" w:color="auto" w:sz="4" w:space="0"/>
              <w:bottom w:val="single" w:color="auto" w:sz="4" w:space="0"/>
              <w:right w:val="single" w:color="auto" w:sz="4" w:space="0"/>
            </w:tcBorders>
            <w:vAlign w:val="center"/>
          </w:tcPr>
          <w:p w14:paraId="5434E14E">
            <w:pPr>
              <w:autoSpaceDE w:val="0"/>
              <w:spacing w:line="240" w:lineRule="auto"/>
              <w:jc w:val="center"/>
              <w:rPr>
                <w:kern w:val="0"/>
              </w:rPr>
            </w:pPr>
            <w:r>
              <w:rPr>
                <w:kern w:val="0"/>
              </w:rPr>
              <w:t>263</w:t>
            </w:r>
          </w:p>
        </w:tc>
        <w:tc>
          <w:tcPr>
            <w:tcW w:w="547" w:type="pct"/>
            <w:vMerge w:val="continue"/>
            <w:tcBorders>
              <w:top w:val="nil"/>
              <w:left w:val="single" w:color="auto" w:sz="4" w:space="0"/>
              <w:bottom w:val="single" w:color="auto" w:sz="4" w:space="0"/>
              <w:right w:val="single" w:color="auto" w:sz="4" w:space="0"/>
            </w:tcBorders>
            <w:vAlign w:val="center"/>
          </w:tcPr>
          <w:p w14:paraId="0BB45617">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20576149">
            <w:pPr>
              <w:spacing w:line="240" w:lineRule="auto"/>
              <w:jc w:val="left"/>
              <w:rPr>
                <w:kern w:val="0"/>
                <w:sz w:val="21"/>
                <w:szCs w:val="21"/>
              </w:rPr>
            </w:pPr>
          </w:p>
        </w:tc>
        <w:tc>
          <w:tcPr>
            <w:tcW w:w="277" w:type="pct"/>
            <w:vMerge w:val="continue"/>
            <w:tcBorders>
              <w:top w:val="nil"/>
              <w:left w:val="single" w:color="auto" w:sz="4" w:space="0"/>
              <w:bottom w:val="single" w:color="auto" w:sz="4" w:space="0"/>
              <w:right w:val="single" w:color="auto" w:sz="4" w:space="0"/>
            </w:tcBorders>
            <w:vAlign w:val="center"/>
          </w:tcPr>
          <w:p w14:paraId="533BF872">
            <w:pPr>
              <w:spacing w:line="240" w:lineRule="auto"/>
              <w:jc w:val="left"/>
              <w:rPr>
                <w:kern w:val="0"/>
                <w:sz w:val="21"/>
                <w:szCs w:val="21"/>
              </w:rPr>
            </w:pPr>
          </w:p>
        </w:tc>
        <w:tc>
          <w:tcPr>
            <w:tcW w:w="547" w:type="pct"/>
            <w:tcBorders>
              <w:top w:val="single" w:color="auto" w:sz="4" w:space="0"/>
              <w:left w:val="single" w:color="auto" w:sz="4" w:space="0"/>
              <w:bottom w:val="single" w:color="auto" w:sz="4" w:space="0"/>
              <w:right w:val="single" w:color="auto" w:sz="4" w:space="0"/>
            </w:tcBorders>
            <w:vAlign w:val="center"/>
          </w:tcPr>
          <w:p w14:paraId="3EB71FD4">
            <w:pPr>
              <w:autoSpaceDE w:val="0"/>
              <w:spacing w:line="240" w:lineRule="auto"/>
              <w:jc w:val="center"/>
              <w:rPr>
                <w:kern w:val="0"/>
              </w:rPr>
            </w:pPr>
            <w:r>
              <w:rPr>
                <w:kern w:val="0"/>
              </w:rPr>
              <w:t>9.47</w:t>
            </w:r>
          </w:p>
        </w:tc>
      </w:tr>
    </w:tbl>
    <w:p w14:paraId="2C9AE80C">
      <w:pPr>
        <w:pStyle w:val="37"/>
        <w:numPr>
          <w:ilvl w:val="3"/>
          <w:numId w:val="2"/>
        </w:numPr>
        <w:ind w:firstLine="482" w:firstLineChars="200"/>
        <w:outlineLvl w:val="3"/>
        <w:rPr>
          <w:b/>
          <w:bCs/>
        </w:rPr>
      </w:pPr>
      <w:r>
        <w:rPr>
          <w:rFonts w:hint="eastAsia"/>
          <w:b/>
          <w:bCs/>
        </w:rPr>
        <w:t>粉煤灰对混凝土强度影响</w:t>
      </w:r>
    </w:p>
    <w:p w14:paraId="4DC4EA60">
      <w:pPr>
        <w:autoSpaceDE w:val="0"/>
        <w:ind w:firstLine="480" w:firstLineChars="200"/>
      </w:pPr>
      <w:r>
        <w:rPr>
          <w:rFonts w:hint="eastAsia" w:cs="宋体"/>
        </w:rPr>
        <w:t>粉煤灰掺量分别为</w:t>
      </w:r>
      <w:r>
        <w:t>10%</w:t>
      </w:r>
      <w:r>
        <w:rPr>
          <w:rFonts w:hint="eastAsia" w:cs="宋体"/>
        </w:rPr>
        <w:t>、</w:t>
      </w:r>
      <w:r>
        <w:t>20%</w:t>
      </w:r>
      <w:r>
        <w:rPr>
          <w:rFonts w:hint="eastAsia" w:cs="宋体"/>
        </w:rPr>
        <w:t>、</w:t>
      </w:r>
      <w:r>
        <w:t>30%</w:t>
      </w:r>
      <w:r>
        <w:rPr>
          <w:rFonts w:hint="eastAsia" w:cs="宋体"/>
        </w:rPr>
        <w:t>、</w:t>
      </w:r>
      <w:r>
        <w:t>40%</w:t>
      </w:r>
      <w:r>
        <w:rPr>
          <w:rFonts w:hint="eastAsia" w:cs="宋体"/>
        </w:rPr>
        <w:t>、</w:t>
      </w:r>
      <w:r>
        <w:t>50%</w:t>
      </w:r>
      <w:r>
        <w:rPr>
          <w:rFonts w:hint="eastAsia" w:cs="宋体"/>
        </w:rPr>
        <w:t>，不同掺量对</w:t>
      </w:r>
      <w:r>
        <w:t>C30</w:t>
      </w:r>
      <w:r>
        <w:rPr>
          <w:rFonts w:hint="eastAsia" w:cs="宋体"/>
        </w:rPr>
        <w:t>、</w:t>
      </w:r>
      <w:r>
        <w:t>C45</w:t>
      </w:r>
      <w:r>
        <w:rPr>
          <w:rFonts w:hint="eastAsia" w:cs="宋体"/>
        </w:rPr>
        <w:t>混凝土强度影响见</w:t>
      </w:r>
      <w:r>
        <w:rPr>
          <w:rFonts w:hint="eastAsia" w:cs="宋体"/>
        </w:rPr>
        <w:fldChar w:fldCharType="begin"/>
      </w:r>
      <w:r>
        <w:rPr>
          <w:rFonts w:hint="eastAsia" w:cs="宋体"/>
        </w:rPr>
        <w:instrText xml:space="preserve"> REF _Ref230721550 \h </w:instrText>
      </w:r>
      <w:r>
        <w:rPr>
          <w:rFonts w:cs="宋体"/>
        </w:rPr>
        <w:instrText xml:space="preserve"> \* MERGEFORMAT </w:instrText>
      </w:r>
      <w:r>
        <w:rPr>
          <w:rFonts w:hint="eastAsia" w:cs="宋体"/>
        </w:rPr>
        <w:fldChar w:fldCharType="separate"/>
      </w:r>
      <w:r>
        <w:rPr>
          <w:rFonts w:hint="eastAsia"/>
        </w:rPr>
        <w:t>表</w:t>
      </w:r>
      <w:r>
        <w:t>14</w:t>
      </w:r>
      <w:r>
        <w:rPr>
          <w:rFonts w:hint="eastAsia" w:cs="宋体"/>
        </w:rPr>
        <w:fldChar w:fldCharType="end"/>
      </w:r>
      <w:r>
        <w:rPr>
          <w:rFonts w:hint="eastAsia" w:cs="宋体"/>
        </w:rPr>
        <w:t>和</w:t>
      </w:r>
      <w:r>
        <w:rPr>
          <w:rFonts w:hint="eastAsia" w:cs="宋体"/>
        </w:rPr>
        <w:fldChar w:fldCharType="begin"/>
      </w:r>
      <w:r>
        <w:rPr>
          <w:rFonts w:hint="eastAsia" w:cs="宋体"/>
        </w:rPr>
        <w:instrText xml:space="preserve"> REF _Ref230721552 \h </w:instrText>
      </w:r>
      <w:r>
        <w:rPr>
          <w:rFonts w:cs="宋体"/>
        </w:rPr>
        <w:instrText xml:space="preserve"> \* MERGEFORMAT </w:instrText>
      </w:r>
      <w:r>
        <w:rPr>
          <w:rFonts w:hint="eastAsia" w:cs="宋体"/>
        </w:rPr>
        <w:fldChar w:fldCharType="separate"/>
      </w:r>
      <w:r>
        <w:rPr>
          <w:rFonts w:hint="eastAsia"/>
        </w:rPr>
        <w:t>表</w:t>
      </w:r>
      <w:r>
        <w:t>15</w:t>
      </w:r>
      <w:r>
        <w:rPr>
          <w:rFonts w:hint="eastAsia" w:cs="宋体"/>
        </w:rPr>
        <w:fldChar w:fldCharType="end"/>
      </w:r>
      <w:r>
        <w:rPr>
          <w:rFonts w:hint="eastAsia" w:cs="宋体"/>
        </w:rPr>
        <w:t>和</w:t>
      </w:r>
      <w:r>
        <w:rPr>
          <w:rFonts w:cs="宋体"/>
        </w:rPr>
        <w:fldChar w:fldCharType="begin"/>
      </w:r>
      <w:r>
        <w:rPr>
          <w:rFonts w:cs="宋体"/>
        </w:rPr>
        <w:instrText xml:space="preserve"> </w:instrText>
      </w:r>
      <w:r>
        <w:rPr>
          <w:rFonts w:hint="eastAsia" w:cs="宋体"/>
        </w:rPr>
        <w:instrText xml:space="preserve">REF _Ref230721833 \h</w:instrText>
      </w:r>
      <w:r>
        <w:rPr>
          <w:rFonts w:cs="宋体"/>
        </w:rPr>
        <w:instrText xml:space="preserve"> </w:instrText>
      </w:r>
      <w:r>
        <w:rPr>
          <w:rFonts w:cs="宋体"/>
        </w:rPr>
        <w:fldChar w:fldCharType="separate"/>
      </w:r>
      <w:r>
        <w:rPr>
          <w:rFonts w:hint="eastAsia"/>
          <w:color w:val="000000"/>
        </w:rPr>
        <w:t>图</w:t>
      </w:r>
      <w:r>
        <w:rPr>
          <w:color w:val="000000"/>
        </w:rPr>
        <w:t>8</w:t>
      </w:r>
      <w:r>
        <w:rPr>
          <w:rFonts w:cs="宋体"/>
        </w:rPr>
        <w:fldChar w:fldCharType="end"/>
      </w:r>
      <w:r>
        <w:rPr>
          <w:rFonts w:hint="eastAsia" w:cs="宋体"/>
        </w:rPr>
        <w:t>和</w:t>
      </w:r>
      <w:r>
        <w:rPr>
          <w:rFonts w:cs="宋体"/>
        </w:rPr>
        <w:fldChar w:fldCharType="begin"/>
      </w:r>
      <w:r>
        <w:rPr>
          <w:rFonts w:cs="宋体"/>
        </w:rPr>
        <w:instrText xml:space="preserve"> REF _Ref230721834 \h </w:instrText>
      </w:r>
      <w:r>
        <w:rPr>
          <w:rFonts w:cs="宋体"/>
        </w:rPr>
        <w:fldChar w:fldCharType="separate"/>
      </w:r>
      <w:r>
        <w:rPr>
          <w:rFonts w:hint="eastAsia"/>
          <w:color w:val="000000"/>
        </w:rPr>
        <w:t>图</w:t>
      </w:r>
      <w:r>
        <w:rPr>
          <w:color w:val="000000"/>
        </w:rPr>
        <w:t>9</w:t>
      </w:r>
      <w:r>
        <w:rPr>
          <w:rFonts w:cs="宋体"/>
        </w:rPr>
        <w:fldChar w:fldCharType="end"/>
      </w:r>
      <w:r>
        <w:rPr>
          <w:rFonts w:hint="eastAsia" w:cs="宋体"/>
        </w:rPr>
        <w:t>。</w:t>
      </w:r>
    </w:p>
    <w:p w14:paraId="0855217F">
      <w:pPr>
        <w:autoSpaceDE w:val="0"/>
        <w:jc w:val="center"/>
      </w:pPr>
      <w:bookmarkStart w:id="21" w:name="_Ref230721550"/>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14</w:t>
      </w:r>
      <w:r>
        <w:fldChar w:fldCharType="end"/>
      </w:r>
      <w:bookmarkEnd w:id="21"/>
      <w:r>
        <w:rPr>
          <w:rFonts w:hint="eastAsia"/>
        </w:rPr>
        <w:t xml:space="preserve"> </w:t>
      </w:r>
      <w:r>
        <w:rPr>
          <w:rFonts w:hint="eastAsia" w:cs="宋体"/>
        </w:rPr>
        <w:t>粉煤灰不同掺量对</w:t>
      </w:r>
      <w:r>
        <w:t>C30</w:t>
      </w:r>
      <w:r>
        <w:rPr>
          <w:rFonts w:hint="eastAsia" w:cs="宋体"/>
        </w:rPr>
        <w:t>混凝土强度影响</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6"/>
        <w:gridCol w:w="2330"/>
        <w:gridCol w:w="2330"/>
        <w:gridCol w:w="1019"/>
        <w:gridCol w:w="1019"/>
        <w:gridCol w:w="948"/>
      </w:tblGrid>
      <w:tr w14:paraId="50FA0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jc w:val="center"/>
        </w:trPr>
        <w:tc>
          <w:tcPr>
            <w:tcW w:w="853" w:type="dxa"/>
            <w:vMerge w:val="restart"/>
            <w:noWrap/>
            <w:vAlign w:val="center"/>
          </w:tcPr>
          <w:p w14:paraId="44F2C041">
            <w:pPr>
              <w:autoSpaceDE w:val="0"/>
              <w:spacing w:line="240" w:lineRule="auto"/>
              <w:jc w:val="center"/>
            </w:pPr>
            <w:r>
              <w:rPr>
                <w:rFonts w:hint="eastAsia" w:cs="宋体"/>
              </w:rPr>
              <w:t>序号</w:t>
            </w:r>
          </w:p>
        </w:tc>
        <w:tc>
          <w:tcPr>
            <w:tcW w:w="2268" w:type="dxa"/>
            <w:vMerge w:val="restart"/>
            <w:noWrap/>
            <w:vAlign w:val="center"/>
          </w:tcPr>
          <w:p w14:paraId="2FC66384">
            <w:pPr>
              <w:autoSpaceDE w:val="0"/>
              <w:spacing w:line="240" w:lineRule="auto"/>
              <w:jc w:val="center"/>
            </w:pPr>
            <w:r>
              <w:rPr>
                <w:rFonts w:hint="eastAsia" w:cs="宋体"/>
              </w:rPr>
              <w:t>粉煤灰掺量（</w:t>
            </w:r>
            <w:r>
              <w:t>%</w:t>
            </w:r>
            <w:r>
              <w:rPr>
                <w:rFonts w:hint="eastAsia" w:cs="宋体"/>
              </w:rPr>
              <w:t>）</w:t>
            </w:r>
          </w:p>
        </w:tc>
        <w:tc>
          <w:tcPr>
            <w:tcW w:w="2268" w:type="dxa"/>
            <w:vMerge w:val="restart"/>
            <w:noWrap/>
            <w:vAlign w:val="center"/>
          </w:tcPr>
          <w:p w14:paraId="68E499FD">
            <w:pPr>
              <w:autoSpaceDE w:val="0"/>
              <w:spacing w:line="240" w:lineRule="auto"/>
              <w:jc w:val="center"/>
            </w:pPr>
            <w:r>
              <w:rPr>
                <w:rFonts w:hint="eastAsia" w:cs="宋体"/>
              </w:rPr>
              <w:t>品名</w:t>
            </w:r>
          </w:p>
        </w:tc>
        <w:tc>
          <w:tcPr>
            <w:tcW w:w="2907" w:type="dxa"/>
            <w:gridSpan w:val="3"/>
            <w:noWrap/>
            <w:vAlign w:val="center"/>
          </w:tcPr>
          <w:p w14:paraId="24F4735A">
            <w:pPr>
              <w:autoSpaceDE w:val="0"/>
              <w:spacing w:line="240" w:lineRule="auto"/>
              <w:jc w:val="center"/>
            </w:pPr>
            <w:r>
              <w:rPr>
                <w:rFonts w:hint="eastAsia" w:cs="宋体"/>
              </w:rPr>
              <w:t>强度（</w:t>
            </w:r>
            <w:r>
              <w:t>MPa</w:t>
            </w:r>
            <w:r>
              <w:rPr>
                <w:rFonts w:hint="eastAsia" w:cs="宋体"/>
              </w:rPr>
              <w:t>）</w:t>
            </w:r>
          </w:p>
        </w:tc>
      </w:tr>
      <w:tr w14:paraId="3A2B3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jc w:val="center"/>
        </w:trPr>
        <w:tc>
          <w:tcPr>
            <w:tcW w:w="853" w:type="dxa"/>
            <w:vMerge w:val="continue"/>
            <w:vAlign w:val="center"/>
          </w:tcPr>
          <w:p w14:paraId="2218D2D0">
            <w:pPr>
              <w:spacing w:line="240" w:lineRule="auto"/>
              <w:jc w:val="center"/>
              <w:rPr>
                <w:sz w:val="21"/>
                <w:szCs w:val="21"/>
              </w:rPr>
            </w:pPr>
          </w:p>
        </w:tc>
        <w:tc>
          <w:tcPr>
            <w:tcW w:w="2268" w:type="dxa"/>
            <w:vMerge w:val="continue"/>
            <w:vAlign w:val="center"/>
          </w:tcPr>
          <w:p w14:paraId="2D5C2F55">
            <w:pPr>
              <w:spacing w:line="240" w:lineRule="auto"/>
              <w:jc w:val="center"/>
              <w:rPr>
                <w:sz w:val="21"/>
                <w:szCs w:val="21"/>
              </w:rPr>
            </w:pPr>
          </w:p>
        </w:tc>
        <w:tc>
          <w:tcPr>
            <w:tcW w:w="2268" w:type="dxa"/>
            <w:vMerge w:val="continue"/>
            <w:vAlign w:val="center"/>
          </w:tcPr>
          <w:p w14:paraId="4490AB71">
            <w:pPr>
              <w:spacing w:line="240" w:lineRule="auto"/>
              <w:jc w:val="center"/>
              <w:rPr>
                <w:sz w:val="21"/>
                <w:szCs w:val="21"/>
              </w:rPr>
            </w:pPr>
          </w:p>
        </w:tc>
        <w:tc>
          <w:tcPr>
            <w:tcW w:w="992" w:type="dxa"/>
            <w:noWrap/>
            <w:vAlign w:val="center"/>
          </w:tcPr>
          <w:p w14:paraId="7D0DE68A">
            <w:pPr>
              <w:autoSpaceDE w:val="0"/>
              <w:spacing w:line="240" w:lineRule="auto"/>
              <w:jc w:val="center"/>
            </w:pPr>
            <w:r>
              <w:t>7d</w:t>
            </w:r>
          </w:p>
        </w:tc>
        <w:tc>
          <w:tcPr>
            <w:tcW w:w="992" w:type="dxa"/>
            <w:noWrap/>
            <w:vAlign w:val="center"/>
          </w:tcPr>
          <w:p w14:paraId="195229D5">
            <w:pPr>
              <w:autoSpaceDE w:val="0"/>
              <w:spacing w:line="240" w:lineRule="auto"/>
              <w:jc w:val="center"/>
            </w:pPr>
            <w:r>
              <w:t>28d</w:t>
            </w:r>
          </w:p>
        </w:tc>
        <w:tc>
          <w:tcPr>
            <w:tcW w:w="923" w:type="dxa"/>
            <w:noWrap/>
            <w:vAlign w:val="center"/>
          </w:tcPr>
          <w:p w14:paraId="001B80DD">
            <w:pPr>
              <w:autoSpaceDE w:val="0"/>
              <w:spacing w:line="240" w:lineRule="auto"/>
              <w:jc w:val="center"/>
            </w:pPr>
            <w:r>
              <w:t>60d</w:t>
            </w:r>
          </w:p>
        </w:tc>
      </w:tr>
      <w:tr w14:paraId="10EAB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853" w:type="dxa"/>
            <w:vMerge w:val="restart"/>
            <w:noWrap/>
            <w:vAlign w:val="center"/>
          </w:tcPr>
          <w:p w14:paraId="282C3733">
            <w:pPr>
              <w:autoSpaceDE w:val="0"/>
              <w:spacing w:line="240" w:lineRule="auto"/>
              <w:jc w:val="center"/>
            </w:pPr>
            <w:r>
              <w:t>1</w:t>
            </w:r>
          </w:p>
        </w:tc>
        <w:tc>
          <w:tcPr>
            <w:tcW w:w="2268" w:type="dxa"/>
            <w:vMerge w:val="restart"/>
            <w:noWrap/>
            <w:vAlign w:val="center"/>
          </w:tcPr>
          <w:p w14:paraId="434E6D27">
            <w:pPr>
              <w:autoSpaceDE w:val="0"/>
              <w:spacing w:line="240" w:lineRule="auto"/>
              <w:jc w:val="center"/>
            </w:pPr>
            <w:r>
              <w:t>10</w:t>
            </w:r>
          </w:p>
        </w:tc>
        <w:tc>
          <w:tcPr>
            <w:tcW w:w="2268" w:type="dxa"/>
            <w:noWrap/>
            <w:vAlign w:val="center"/>
          </w:tcPr>
          <w:p w14:paraId="32BE51E7">
            <w:pPr>
              <w:autoSpaceDE w:val="0"/>
              <w:spacing w:line="240" w:lineRule="auto"/>
              <w:jc w:val="center"/>
            </w:pPr>
            <w:r>
              <w:rPr>
                <w:rFonts w:hint="eastAsia" w:cs="宋体"/>
              </w:rPr>
              <w:t>原灰</w:t>
            </w:r>
          </w:p>
        </w:tc>
        <w:tc>
          <w:tcPr>
            <w:tcW w:w="992" w:type="dxa"/>
            <w:noWrap/>
            <w:vAlign w:val="center"/>
          </w:tcPr>
          <w:p w14:paraId="4A58D180">
            <w:pPr>
              <w:autoSpaceDE w:val="0"/>
              <w:spacing w:line="240" w:lineRule="auto"/>
              <w:jc w:val="center"/>
            </w:pPr>
            <w:r>
              <w:t>36.1</w:t>
            </w:r>
          </w:p>
        </w:tc>
        <w:tc>
          <w:tcPr>
            <w:tcW w:w="992" w:type="dxa"/>
            <w:noWrap/>
            <w:vAlign w:val="center"/>
          </w:tcPr>
          <w:p w14:paraId="4C69F962">
            <w:pPr>
              <w:autoSpaceDE w:val="0"/>
              <w:spacing w:line="240" w:lineRule="auto"/>
              <w:jc w:val="center"/>
            </w:pPr>
            <w:r>
              <w:t>46.8</w:t>
            </w:r>
          </w:p>
        </w:tc>
        <w:tc>
          <w:tcPr>
            <w:tcW w:w="923" w:type="dxa"/>
            <w:noWrap/>
            <w:vAlign w:val="center"/>
          </w:tcPr>
          <w:p w14:paraId="1891154C">
            <w:pPr>
              <w:autoSpaceDE w:val="0"/>
              <w:spacing w:line="240" w:lineRule="auto"/>
              <w:jc w:val="center"/>
            </w:pPr>
            <w:r>
              <w:t>48.9</w:t>
            </w:r>
          </w:p>
        </w:tc>
      </w:tr>
      <w:tr w14:paraId="62E6A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853" w:type="dxa"/>
            <w:vMerge w:val="continue"/>
            <w:vAlign w:val="center"/>
          </w:tcPr>
          <w:p w14:paraId="18B8E940">
            <w:pPr>
              <w:spacing w:line="240" w:lineRule="auto"/>
              <w:jc w:val="center"/>
              <w:rPr>
                <w:sz w:val="21"/>
                <w:szCs w:val="21"/>
              </w:rPr>
            </w:pPr>
          </w:p>
        </w:tc>
        <w:tc>
          <w:tcPr>
            <w:tcW w:w="2268" w:type="dxa"/>
            <w:vMerge w:val="continue"/>
            <w:vAlign w:val="center"/>
          </w:tcPr>
          <w:p w14:paraId="08D909A8">
            <w:pPr>
              <w:spacing w:line="240" w:lineRule="auto"/>
              <w:jc w:val="center"/>
              <w:rPr>
                <w:sz w:val="21"/>
                <w:szCs w:val="21"/>
              </w:rPr>
            </w:pPr>
          </w:p>
        </w:tc>
        <w:tc>
          <w:tcPr>
            <w:tcW w:w="2268" w:type="dxa"/>
            <w:noWrap/>
            <w:vAlign w:val="center"/>
          </w:tcPr>
          <w:p w14:paraId="09541780">
            <w:pPr>
              <w:autoSpaceDE w:val="0"/>
              <w:spacing w:line="240" w:lineRule="auto"/>
              <w:jc w:val="center"/>
            </w:pPr>
            <w:r>
              <w:t>Ⅱ</w:t>
            </w:r>
            <w:r>
              <w:rPr>
                <w:rFonts w:hint="eastAsia" w:cs="宋体"/>
              </w:rPr>
              <w:t>级粉煤灰</w:t>
            </w:r>
          </w:p>
        </w:tc>
        <w:tc>
          <w:tcPr>
            <w:tcW w:w="992" w:type="dxa"/>
            <w:noWrap/>
            <w:vAlign w:val="center"/>
          </w:tcPr>
          <w:p w14:paraId="7A163614">
            <w:pPr>
              <w:autoSpaceDE w:val="0"/>
              <w:spacing w:line="240" w:lineRule="auto"/>
              <w:jc w:val="center"/>
            </w:pPr>
            <w:r>
              <w:t>36.3</w:t>
            </w:r>
          </w:p>
        </w:tc>
        <w:tc>
          <w:tcPr>
            <w:tcW w:w="992" w:type="dxa"/>
            <w:noWrap/>
            <w:vAlign w:val="center"/>
          </w:tcPr>
          <w:p w14:paraId="4125A064">
            <w:pPr>
              <w:autoSpaceDE w:val="0"/>
              <w:spacing w:line="240" w:lineRule="auto"/>
              <w:jc w:val="center"/>
            </w:pPr>
            <w:r>
              <w:t>47.4</w:t>
            </w:r>
          </w:p>
        </w:tc>
        <w:tc>
          <w:tcPr>
            <w:tcW w:w="923" w:type="dxa"/>
            <w:noWrap/>
            <w:vAlign w:val="center"/>
          </w:tcPr>
          <w:p w14:paraId="5B86F15F">
            <w:pPr>
              <w:autoSpaceDE w:val="0"/>
              <w:spacing w:line="240" w:lineRule="auto"/>
              <w:jc w:val="center"/>
            </w:pPr>
            <w:r>
              <w:t>51.0</w:t>
            </w:r>
          </w:p>
        </w:tc>
      </w:tr>
      <w:tr w14:paraId="10596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853" w:type="dxa"/>
            <w:vMerge w:val="continue"/>
            <w:vAlign w:val="center"/>
          </w:tcPr>
          <w:p w14:paraId="46041AA2">
            <w:pPr>
              <w:spacing w:line="240" w:lineRule="auto"/>
              <w:jc w:val="center"/>
              <w:rPr>
                <w:sz w:val="21"/>
                <w:szCs w:val="21"/>
              </w:rPr>
            </w:pPr>
          </w:p>
        </w:tc>
        <w:tc>
          <w:tcPr>
            <w:tcW w:w="2268" w:type="dxa"/>
            <w:vMerge w:val="continue"/>
            <w:vAlign w:val="center"/>
          </w:tcPr>
          <w:p w14:paraId="267E9577">
            <w:pPr>
              <w:spacing w:line="240" w:lineRule="auto"/>
              <w:jc w:val="center"/>
              <w:rPr>
                <w:sz w:val="21"/>
                <w:szCs w:val="21"/>
              </w:rPr>
            </w:pPr>
          </w:p>
        </w:tc>
        <w:tc>
          <w:tcPr>
            <w:tcW w:w="2268" w:type="dxa"/>
            <w:noWrap/>
            <w:vAlign w:val="center"/>
          </w:tcPr>
          <w:p w14:paraId="6138BD30">
            <w:pPr>
              <w:autoSpaceDE w:val="0"/>
              <w:spacing w:line="240" w:lineRule="auto"/>
              <w:jc w:val="center"/>
            </w:pPr>
            <w:r>
              <w:rPr>
                <w:rFonts w:hint="eastAsia" w:cs="宋体"/>
              </w:rPr>
              <w:t>物理改性粉煤灰</w:t>
            </w:r>
          </w:p>
        </w:tc>
        <w:tc>
          <w:tcPr>
            <w:tcW w:w="992" w:type="dxa"/>
            <w:noWrap/>
            <w:vAlign w:val="center"/>
          </w:tcPr>
          <w:p w14:paraId="58BEB4CD">
            <w:pPr>
              <w:autoSpaceDE w:val="0"/>
              <w:spacing w:line="240" w:lineRule="auto"/>
              <w:jc w:val="center"/>
            </w:pPr>
            <w:r>
              <w:t>36.5</w:t>
            </w:r>
          </w:p>
        </w:tc>
        <w:tc>
          <w:tcPr>
            <w:tcW w:w="992" w:type="dxa"/>
            <w:noWrap/>
            <w:vAlign w:val="center"/>
          </w:tcPr>
          <w:p w14:paraId="272AF890">
            <w:pPr>
              <w:autoSpaceDE w:val="0"/>
              <w:spacing w:line="240" w:lineRule="auto"/>
              <w:jc w:val="center"/>
            </w:pPr>
            <w:r>
              <w:t>50.3</w:t>
            </w:r>
          </w:p>
        </w:tc>
        <w:tc>
          <w:tcPr>
            <w:tcW w:w="923" w:type="dxa"/>
            <w:noWrap/>
            <w:vAlign w:val="center"/>
          </w:tcPr>
          <w:p w14:paraId="368E68DB">
            <w:pPr>
              <w:autoSpaceDE w:val="0"/>
              <w:spacing w:line="240" w:lineRule="auto"/>
              <w:jc w:val="center"/>
            </w:pPr>
            <w:r>
              <w:t>56.4</w:t>
            </w:r>
          </w:p>
        </w:tc>
      </w:tr>
      <w:tr w14:paraId="258A1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853" w:type="dxa"/>
            <w:vMerge w:val="restart"/>
            <w:noWrap/>
            <w:vAlign w:val="center"/>
          </w:tcPr>
          <w:p w14:paraId="5153F13F">
            <w:pPr>
              <w:autoSpaceDE w:val="0"/>
              <w:spacing w:line="240" w:lineRule="auto"/>
              <w:jc w:val="center"/>
            </w:pPr>
            <w:r>
              <w:t>2</w:t>
            </w:r>
          </w:p>
        </w:tc>
        <w:tc>
          <w:tcPr>
            <w:tcW w:w="2268" w:type="dxa"/>
            <w:vMerge w:val="restart"/>
            <w:noWrap/>
            <w:vAlign w:val="center"/>
          </w:tcPr>
          <w:p w14:paraId="1C5AD315">
            <w:pPr>
              <w:autoSpaceDE w:val="0"/>
              <w:spacing w:line="240" w:lineRule="auto"/>
              <w:jc w:val="center"/>
            </w:pPr>
            <w:r>
              <w:t>20</w:t>
            </w:r>
          </w:p>
        </w:tc>
        <w:tc>
          <w:tcPr>
            <w:tcW w:w="2268" w:type="dxa"/>
            <w:noWrap/>
            <w:vAlign w:val="center"/>
          </w:tcPr>
          <w:p w14:paraId="63609442">
            <w:pPr>
              <w:autoSpaceDE w:val="0"/>
              <w:spacing w:line="240" w:lineRule="auto"/>
              <w:jc w:val="center"/>
            </w:pPr>
            <w:r>
              <w:rPr>
                <w:rFonts w:hint="eastAsia" w:cs="宋体"/>
              </w:rPr>
              <w:t>原灰</w:t>
            </w:r>
          </w:p>
        </w:tc>
        <w:tc>
          <w:tcPr>
            <w:tcW w:w="992" w:type="dxa"/>
            <w:noWrap/>
            <w:vAlign w:val="center"/>
          </w:tcPr>
          <w:p w14:paraId="0B249AB2">
            <w:pPr>
              <w:autoSpaceDE w:val="0"/>
              <w:spacing w:line="240" w:lineRule="auto"/>
              <w:jc w:val="center"/>
            </w:pPr>
            <w:r>
              <w:t>29.3</w:t>
            </w:r>
          </w:p>
        </w:tc>
        <w:tc>
          <w:tcPr>
            <w:tcW w:w="992" w:type="dxa"/>
            <w:noWrap/>
            <w:vAlign w:val="center"/>
          </w:tcPr>
          <w:p w14:paraId="164F55AA">
            <w:pPr>
              <w:autoSpaceDE w:val="0"/>
              <w:spacing w:line="240" w:lineRule="auto"/>
              <w:jc w:val="center"/>
            </w:pPr>
            <w:r>
              <w:t>41.0</w:t>
            </w:r>
          </w:p>
        </w:tc>
        <w:tc>
          <w:tcPr>
            <w:tcW w:w="923" w:type="dxa"/>
            <w:noWrap/>
            <w:vAlign w:val="center"/>
          </w:tcPr>
          <w:p w14:paraId="7C961AAB">
            <w:pPr>
              <w:autoSpaceDE w:val="0"/>
              <w:spacing w:line="240" w:lineRule="auto"/>
              <w:jc w:val="center"/>
            </w:pPr>
            <w:r>
              <w:t>47.3</w:t>
            </w:r>
          </w:p>
        </w:tc>
      </w:tr>
      <w:tr w14:paraId="67855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853" w:type="dxa"/>
            <w:vMerge w:val="continue"/>
            <w:vAlign w:val="center"/>
          </w:tcPr>
          <w:p w14:paraId="3C94AFD5">
            <w:pPr>
              <w:spacing w:line="240" w:lineRule="auto"/>
              <w:jc w:val="center"/>
              <w:rPr>
                <w:sz w:val="21"/>
                <w:szCs w:val="21"/>
              </w:rPr>
            </w:pPr>
          </w:p>
        </w:tc>
        <w:tc>
          <w:tcPr>
            <w:tcW w:w="2268" w:type="dxa"/>
            <w:vMerge w:val="continue"/>
            <w:vAlign w:val="center"/>
          </w:tcPr>
          <w:p w14:paraId="2F2A646F">
            <w:pPr>
              <w:spacing w:line="240" w:lineRule="auto"/>
              <w:jc w:val="center"/>
              <w:rPr>
                <w:sz w:val="21"/>
                <w:szCs w:val="21"/>
              </w:rPr>
            </w:pPr>
          </w:p>
        </w:tc>
        <w:tc>
          <w:tcPr>
            <w:tcW w:w="2268" w:type="dxa"/>
            <w:noWrap/>
            <w:vAlign w:val="center"/>
          </w:tcPr>
          <w:p w14:paraId="085BB8F0">
            <w:pPr>
              <w:autoSpaceDE w:val="0"/>
              <w:spacing w:line="240" w:lineRule="auto"/>
              <w:jc w:val="center"/>
            </w:pPr>
            <w:r>
              <w:t>Ⅱ</w:t>
            </w:r>
            <w:r>
              <w:rPr>
                <w:rFonts w:hint="eastAsia" w:cs="宋体"/>
              </w:rPr>
              <w:t>级粉煤灰</w:t>
            </w:r>
          </w:p>
        </w:tc>
        <w:tc>
          <w:tcPr>
            <w:tcW w:w="992" w:type="dxa"/>
            <w:noWrap/>
            <w:vAlign w:val="center"/>
          </w:tcPr>
          <w:p w14:paraId="41D29505">
            <w:pPr>
              <w:autoSpaceDE w:val="0"/>
              <w:spacing w:line="240" w:lineRule="auto"/>
              <w:jc w:val="center"/>
            </w:pPr>
            <w:r>
              <w:t>29.9</w:t>
            </w:r>
          </w:p>
        </w:tc>
        <w:tc>
          <w:tcPr>
            <w:tcW w:w="992" w:type="dxa"/>
            <w:noWrap/>
            <w:vAlign w:val="center"/>
          </w:tcPr>
          <w:p w14:paraId="46ABC5BF">
            <w:pPr>
              <w:autoSpaceDE w:val="0"/>
              <w:spacing w:line="240" w:lineRule="auto"/>
              <w:jc w:val="center"/>
            </w:pPr>
            <w:r>
              <w:t>44.4</w:t>
            </w:r>
          </w:p>
        </w:tc>
        <w:tc>
          <w:tcPr>
            <w:tcW w:w="923" w:type="dxa"/>
            <w:noWrap/>
            <w:vAlign w:val="center"/>
          </w:tcPr>
          <w:p w14:paraId="46CDFD90">
            <w:pPr>
              <w:autoSpaceDE w:val="0"/>
              <w:spacing w:line="240" w:lineRule="auto"/>
              <w:jc w:val="center"/>
            </w:pPr>
            <w:r>
              <w:t>50.0</w:t>
            </w:r>
          </w:p>
        </w:tc>
      </w:tr>
      <w:tr w14:paraId="419A9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853" w:type="dxa"/>
            <w:vMerge w:val="continue"/>
            <w:vAlign w:val="center"/>
          </w:tcPr>
          <w:p w14:paraId="01F17EE5">
            <w:pPr>
              <w:spacing w:line="240" w:lineRule="auto"/>
              <w:jc w:val="center"/>
              <w:rPr>
                <w:sz w:val="21"/>
                <w:szCs w:val="21"/>
              </w:rPr>
            </w:pPr>
          </w:p>
        </w:tc>
        <w:tc>
          <w:tcPr>
            <w:tcW w:w="2268" w:type="dxa"/>
            <w:vMerge w:val="continue"/>
            <w:vAlign w:val="center"/>
          </w:tcPr>
          <w:p w14:paraId="289DCC78">
            <w:pPr>
              <w:spacing w:line="240" w:lineRule="auto"/>
              <w:jc w:val="center"/>
              <w:rPr>
                <w:sz w:val="21"/>
                <w:szCs w:val="21"/>
              </w:rPr>
            </w:pPr>
          </w:p>
        </w:tc>
        <w:tc>
          <w:tcPr>
            <w:tcW w:w="2268" w:type="dxa"/>
            <w:noWrap/>
            <w:vAlign w:val="center"/>
          </w:tcPr>
          <w:p w14:paraId="48B9D0B1">
            <w:pPr>
              <w:autoSpaceDE w:val="0"/>
              <w:spacing w:line="240" w:lineRule="auto"/>
              <w:jc w:val="center"/>
            </w:pPr>
            <w:r>
              <w:rPr>
                <w:rFonts w:hint="eastAsia" w:cs="宋体"/>
              </w:rPr>
              <w:t>物理改性粉煤灰</w:t>
            </w:r>
          </w:p>
        </w:tc>
        <w:tc>
          <w:tcPr>
            <w:tcW w:w="992" w:type="dxa"/>
            <w:noWrap/>
            <w:vAlign w:val="center"/>
          </w:tcPr>
          <w:p w14:paraId="1B87F084">
            <w:pPr>
              <w:autoSpaceDE w:val="0"/>
              <w:spacing w:line="240" w:lineRule="auto"/>
              <w:jc w:val="center"/>
            </w:pPr>
            <w:r>
              <w:t>33.5</w:t>
            </w:r>
          </w:p>
        </w:tc>
        <w:tc>
          <w:tcPr>
            <w:tcW w:w="992" w:type="dxa"/>
            <w:noWrap/>
            <w:vAlign w:val="center"/>
          </w:tcPr>
          <w:p w14:paraId="4922C61A">
            <w:pPr>
              <w:autoSpaceDE w:val="0"/>
              <w:spacing w:line="240" w:lineRule="auto"/>
              <w:jc w:val="center"/>
            </w:pPr>
            <w:r>
              <w:t>47.6</w:t>
            </w:r>
          </w:p>
        </w:tc>
        <w:tc>
          <w:tcPr>
            <w:tcW w:w="923" w:type="dxa"/>
            <w:noWrap/>
            <w:vAlign w:val="center"/>
          </w:tcPr>
          <w:p w14:paraId="5616BE97">
            <w:pPr>
              <w:autoSpaceDE w:val="0"/>
              <w:spacing w:line="240" w:lineRule="auto"/>
              <w:jc w:val="center"/>
            </w:pPr>
            <w:r>
              <w:t>51.8</w:t>
            </w:r>
          </w:p>
        </w:tc>
      </w:tr>
      <w:tr w14:paraId="4C505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853" w:type="dxa"/>
            <w:vMerge w:val="restart"/>
            <w:noWrap/>
            <w:vAlign w:val="center"/>
          </w:tcPr>
          <w:p w14:paraId="63920CEE">
            <w:pPr>
              <w:autoSpaceDE w:val="0"/>
              <w:spacing w:line="240" w:lineRule="auto"/>
              <w:jc w:val="center"/>
            </w:pPr>
            <w:r>
              <w:t>3</w:t>
            </w:r>
          </w:p>
        </w:tc>
        <w:tc>
          <w:tcPr>
            <w:tcW w:w="2268" w:type="dxa"/>
            <w:vMerge w:val="restart"/>
            <w:noWrap/>
            <w:vAlign w:val="center"/>
          </w:tcPr>
          <w:p w14:paraId="750704DD">
            <w:pPr>
              <w:autoSpaceDE w:val="0"/>
              <w:spacing w:line="240" w:lineRule="auto"/>
              <w:jc w:val="center"/>
            </w:pPr>
            <w:r>
              <w:t>30</w:t>
            </w:r>
          </w:p>
        </w:tc>
        <w:tc>
          <w:tcPr>
            <w:tcW w:w="2268" w:type="dxa"/>
            <w:noWrap/>
            <w:vAlign w:val="center"/>
          </w:tcPr>
          <w:p w14:paraId="29527C89">
            <w:pPr>
              <w:autoSpaceDE w:val="0"/>
              <w:spacing w:line="240" w:lineRule="auto"/>
              <w:jc w:val="center"/>
            </w:pPr>
            <w:r>
              <w:rPr>
                <w:rFonts w:hint="eastAsia" w:cs="宋体"/>
              </w:rPr>
              <w:t>原灰</w:t>
            </w:r>
          </w:p>
        </w:tc>
        <w:tc>
          <w:tcPr>
            <w:tcW w:w="992" w:type="dxa"/>
            <w:noWrap/>
            <w:vAlign w:val="center"/>
          </w:tcPr>
          <w:p w14:paraId="5C805D1F">
            <w:pPr>
              <w:autoSpaceDE w:val="0"/>
              <w:spacing w:line="240" w:lineRule="auto"/>
              <w:jc w:val="center"/>
            </w:pPr>
            <w:r>
              <w:t>25.3</w:t>
            </w:r>
          </w:p>
        </w:tc>
        <w:tc>
          <w:tcPr>
            <w:tcW w:w="992" w:type="dxa"/>
            <w:noWrap/>
            <w:vAlign w:val="center"/>
          </w:tcPr>
          <w:p w14:paraId="438167CC">
            <w:pPr>
              <w:autoSpaceDE w:val="0"/>
              <w:spacing w:line="240" w:lineRule="auto"/>
              <w:jc w:val="center"/>
            </w:pPr>
            <w:r>
              <w:t>39.6</w:t>
            </w:r>
          </w:p>
        </w:tc>
        <w:tc>
          <w:tcPr>
            <w:tcW w:w="923" w:type="dxa"/>
            <w:noWrap/>
            <w:vAlign w:val="center"/>
          </w:tcPr>
          <w:p w14:paraId="5677C869">
            <w:pPr>
              <w:autoSpaceDE w:val="0"/>
              <w:spacing w:line="240" w:lineRule="auto"/>
              <w:jc w:val="center"/>
            </w:pPr>
            <w:r>
              <w:t>45.2</w:t>
            </w:r>
          </w:p>
        </w:tc>
      </w:tr>
      <w:tr w14:paraId="1DDAD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853" w:type="dxa"/>
            <w:vMerge w:val="continue"/>
            <w:vAlign w:val="center"/>
          </w:tcPr>
          <w:p w14:paraId="408E79E1">
            <w:pPr>
              <w:spacing w:line="240" w:lineRule="auto"/>
              <w:jc w:val="center"/>
              <w:rPr>
                <w:sz w:val="21"/>
                <w:szCs w:val="21"/>
              </w:rPr>
            </w:pPr>
          </w:p>
        </w:tc>
        <w:tc>
          <w:tcPr>
            <w:tcW w:w="2268" w:type="dxa"/>
            <w:vMerge w:val="continue"/>
            <w:vAlign w:val="center"/>
          </w:tcPr>
          <w:p w14:paraId="34E67F03">
            <w:pPr>
              <w:spacing w:line="240" w:lineRule="auto"/>
              <w:jc w:val="center"/>
              <w:rPr>
                <w:sz w:val="21"/>
                <w:szCs w:val="21"/>
              </w:rPr>
            </w:pPr>
          </w:p>
        </w:tc>
        <w:tc>
          <w:tcPr>
            <w:tcW w:w="2268" w:type="dxa"/>
            <w:noWrap/>
            <w:vAlign w:val="center"/>
          </w:tcPr>
          <w:p w14:paraId="09A35A81">
            <w:pPr>
              <w:autoSpaceDE w:val="0"/>
              <w:spacing w:line="240" w:lineRule="auto"/>
              <w:jc w:val="center"/>
            </w:pPr>
            <w:r>
              <w:t>Ⅱ</w:t>
            </w:r>
            <w:r>
              <w:rPr>
                <w:rFonts w:hint="eastAsia" w:cs="宋体"/>
              </w:rPr>
              <w:t>级粉煤灰</w:t>
            </w:r>
          </w:p>
        </w:tc>
        <w:tc>
          <w:tcPr>
            <w:tcW w:w="992" w:type="dxa"/>
            <w:noWrap/>
            <w:vAlign w:val="center"/>
          </w:tcPr>
          <w:p w14:paraId="5AD3B41E">
            <w:pPr>
              <w:autoSpaceDE w:val="0"/>
              <w:spacing w:line="240" w:lineRule="auto"/>
              <w:jc w:val="center"/>
            </w:pPr>
            <w:r>
              <w:t>27.3</w:t>
            </w:r>
          </w:p>
        </w:tc>
        <w:tc>
          <w:tcPr>
            <w:tcW w:w="992" w:type="dxa"/>
            <w:noWrap/>
            <w:vAlign w:val="center"/>
          </w:tcPr>
          <w:p w14:paraId="06B1D804">
            <w:pPr>
              <w:autoSpaceDE w:val="0"/>
              <w:spacing w:line="240" w:lineRule="auto"/>
              <w:jc w:val="center"/>
            </w:pPr>
            <w:r>
              <w:t>40.9</w:t>
            </w:r>
          </w:p>
        </w:tc>
        <w:tc>
          <w:tcPr>
            <w:tcW w:w="923" w:type="dxa"/>
            <w:noWrap/>
            <w:vAlign w:val="center"/>
          </w:tcPr>
          <w:p w14:paraId="6FB8C141">
            <w:pPr>
              <w:autoSpaceDE w:val="0"/>
              <w:spacing w:line="240" w:lineRule="auto"/>
              <w:jc w:val="center"/>
            </w:pPr>
            <w:r>
              <w:t>46.7</w:t>
            </w:r>
          </w:p>
        </w:tc>
      </w:tr>
      <w:tr w14:paraId="31751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853" w:type="dxa"/>
            <w:vMerge w:val="continue"/>
            <w:vAlign w:val="center"/>
          </w:tcPr>
          <w:p w14:paraId="6F629D2C">
            <w:pPr>
              <w:spacing w:line="240" w:lineRule="auto"/>
              <w:jc w:val="center"/>
              <w:rPr>
                <w:sz w:val="21"/>
                <w:szCs w:val="21"/>
              </w:rPr>
            </w:pPr>
          </w:p>
        </w:tc>
        <w:tc>
          <w:tcPr>
            <w:tcW w:w="2268" w:type="dxa"/>
            <w:vMerge w:val="continue"/>
            <w:vAlign w:val="center"/>
          </w:tcPr>
          <w:p w14:paraId="35348A2F">
            <w:pPr>
              <w:spacing w:line="240" w:lineRule="auto"/>
              <w:jc w:val="center"/>
              <w:rPr>
                <w:sz w:val="21"/>
                <w:szCs w:val="21"/>
              </w:rPr>
            </w:pPr>
          </w:p>
        </w:tc>
        <w:tc>
          <w:tcPr>
            <w:tcW w:w="2268" w:type="dxa"/>
            <w:noWrap/>
            <w:vAlign w:val="center"/>
          </w:tcPr>
          <w:p w14:paraId="3BA607D0">
            <w:pPr>
              <w:autoSpaceDE w:val="0"/>
              <w:spacing w:line="240" w:lineRule="auto"/>
              <w:jc w:val="center"/>
            </w:pPr>
            <w:r>
              <w:rPr>
                <w:rFonts w:hint="eastAsia" w:cs="宋体"/>
              </w:rPr>
              <w:t>物理改性粉煤灰</w:t>
            </w:r>
          </w:p>
        </w:tc>
        <w:tc>
          <w:tcPr>
            <w:tcW w:w="992" w:type="dxa"/>
            <w:noWrap/>
            <w:vAlign w:val="center"/>
          </w:tcPr>
          <w:p w14:paraId="6B868F20">
            <w:pPr>
              <w:autoSpaceDE w:val="0"/>
              <w:spacing w:line="240" w:lineRule="auto"/>
              <w:jc w:val="center"/>
            </w:pPr>
            <w:r>
              <w:t>29.9</w:t>
            </w:r>
          </w:p>
        </w:tc>
        <w:tc>
          <w:tcPr>
            <w:tcW w:w="992" w:type="dxa"/>
            <w:noWrap/>
            <w:vAlign w:val="center"/>
          </w:tcPr>
          <w:p w14:paraId="242DB34A">
            <w:pPr>
              <w:autoSpaceDE w:val="0"/>
              <w:spacing w:line="240" w:lineRule="auto"/>
              <w:jc w:val="center"/>
            </w:pPr>
            <w:r>
              <w:t>44.6</w:t>
            </w:r>
          </w:p>
        </w:tc>
        <w:tc>
          <w:tcPr>
            <w:tcW w:w="923" w:type="dxa"/>
            <w:noWrap/>
            <w:vAlign w:val="center"/>
          </w:tcPr>
          <w:p w14:paraId="0843F0AF">
            <w:pPr>
              <w:autoSpaceDE w:val="0"/>
              <w:spacing w:line="240" w:lineRule="auto"/>
              <w:jc w:val="center"/>
            </w:pPr>
            <w:r>
              <w:t>47.9</w:t>
            </w:r>
          </w:p>
        </w:tc>
      </w:tr>
      <w:tr w14:paraId="77D0C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853" w:type="dxa"/>
            <w:vMerge w:val="restart"/>
            <w:noWrap/>
            <w:vAlign w:val="center"/>
          </w:tcPr>
          <w:p w14:paraId="7341C067">
            <w:pPr>
              <w:autoSpaceDE w:val="0"/>
              <w:spacing w:line="240" w:lineRule="auto"/>
              <w:jc w:val="center"/>
            </w:pPr>
            <w:r>
              <w:t>4</w:t>
            </w:r>
          </w:p>
        </w:tc>
        <w:tc>
          <w:tcPr>
            <w:tcW w:w="2268" w:type="dxa"/>
            <w:vMerge w:val="restart"/>
            <w:noWrap/>
            <w:vAlign w:val="center"/>
          </w:tcPr>
          <w:p w14:paraId="3C7F2727">
            <w:pPr>
              <w:autoSpaceDE w:val="0"/>
              <w:spacing w:line="240" w:lineRule="auto"/>
              <w:jc w:val="center"/>
            </w:pPr>
            <w:r>
              <w:t>40</w:t>
            </w:r>
          </w:p>
        </w:tc>
        <w:tc>
          <w:tcPr>
            <w:tcW w:w="2268" w:type="dxa"/>
            <w:noWrap/>
            <w:vAlign w:val="center"/>
          </w:tcPr>
          <w:p w14:paraId="750DE732">
            <w:pPr>
              <w:autoSpaceDE w:val="0"/>
              <w:spacing w:line="240" w:lineRule="auto"/>
              <w:jc w:val="center"/>
            </w:pPr>
            <w:r>
              <w:rPr>
                <w:rFonts w:hint="eastAsia" w:cs="宋体"/>
              </w:rPr>
              <w:t>原灰</w:t>
            </w:r>
          </w:p>
        </w:tc>
        <w:tc>
          <w:tcPr>
            <w:tcW w:w="992" w:type="dxa"/>
            <w:noWrap/>
            <w:vAlign w:val="center"/>
          </w:tcPr>
          <w:p w14:paraId="316B55D0">
            <w:pPr>
              <w:autoSpaceDE w:val="0"/>
              <w:spacing w:line="240" w:lineRule="auto"/>
              <w:jc w:val="center"/>
            </w:pPr>
            <w:r>
              <w:t>20.9</w:t>
            </w:r>
          </w:p>
        </w:tc>
        <w:tc>
          <w:tcPr>
            <w:tcW w:w="992" w:type="dxa"/>
            <w:noWrap/>
            <w:vAlign w:val="center"/>
          </w:tcPr>
          <w:p w14:paraId="7DC7CEB9">
            <w:pPr>
              <w:autoSpaceDE w:val="0"/>
              <w:spacing w:line="240" w:lineRule="auto"/>
              <w:jc w:val="center"/>
            </w:pPr>
            <w:r>
              <w:t>35.3</w:t>
            </w:r>
          </w:p>
        </w:tc>
        <w:tc>
          <w:tcPr>
            <w:tcW w:w="923" w:type="dxa"/>
            <w:noWrap/>
            <w:vAlign w:val="center"/>
          </w:tcPr>
          <w:p w14:paraId="755277F4">
            <w:pPr>
              <w:autoSpaceDE w:val="0"/>
              <w:spacing w:line="240" w:lineRule="auto"/>
              <w:jc w:val="center"/>
            </w:pPr>
            <w:r>
              <w:t>40.9</w:t>
            </w:r>
          </w:p>
        </w:tc>
      </w:tr>
      <w:tr w14:paraId="70C45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853" w:type="dxa"/>
            <w:vMerge w:val="continue"/>
            <w:vAlign w:val="center"/>
          </w:tcPr>
          <w:p w14:paraId="1FCCF35B">
            <w:pPr>
              <w:spacing w:line="240" w:lineRule="auto"/>
              <w:jc w:val="center"/>
              <w:rPr>
                <w:sz w:val="21"/>
                <w:szCs w:val="21"/>
              </w:rPr>
            </w:pPr>
          </w:p>
        </w:tc>
        <w:tc>
          <w:tcPr>
            <w:tcW w:w="2268" w:type="dxa"/>
            <w:vMerge w:val="continue"/>
            <w:vAlign w:val="center"/>
          </w:tcPr>
          <w:p w14:paraId="14A0B4EA">
            <w:pPr>
              <w:spacing w:line="240" w:lineRule="auto"/>
              <w:jc w:val="center"/>
              <w:rPr>
                <w:sz w:val="21"/>
                <w:szCs w:val="21"/>
              </w:rPr>
            </w:pPr>
          </w:p>
        </w:tc>
        <w:tc>
          <w:tcPr>
            <w:tcW w:w="2268" w:type="dxa"/>
            <w:noWrap/>
            <w:vAlign w:val="center"/>
          </w:tcPr>
          <w:p w14:paraId="74493A17">
            <w:pPr>
              <w:autoSpaceDE w:val="0"/>
              <w:spacing w:line="240" w:lineRule="auto"/>
              <w:jc w:val="center"/>
            </w:pPr>
            <w:r>
              <w:t>Ⅱ</w:t>
            </w:r>
            <w:r>
              <w:rPr>
                <w:rFonts w:hint="eastAsia" w:cs="宋体"/>
              </w:rPr>
              <w:t>级粉煤灰</w:t>
            </w:r>
          </w:p>
        </w:tc>
        <w:tc>
          <w:tcPr>
            <w:tcW w:w="992" w:type="dxa"/>
            <w:noWrap/>
            <w:vAlign w:val="center"/>
          </w:tcPr>
          <w:p w14:paraId="38467054">
            <w:pPr>
              <w:autoSpaceDE w:val="0"/>
              <w:spacing w:line="240" w:lineRule="auto"/>
              <w:jc w:val="center"/>
            </w:pPr>
            <w:r>
              <w:t>21.8</w:t>
            </w:r>
          </w:p>
        </w:tc>
        <w:tc>
          <w:tcPr>
            <w:tcW w:w="992" w:type="dxa"/>
            <w:noWrap/>
            <w:vAlign w:val="center"/>
          </w:tcPr>
          <w:p w14:paraId="0150169E">
            <w:pPr>
              <w:autoSpaceDE w:val="0"/>
              <w:spacing w:line="240" w:lineRule="auto"/>
              <w:jc w:val="center"/>
            </w:pPr>
            <w:r>
              <w:t>36.9</w:t>
            </w:r>
          </w:p>
        </w:tc>
        <w:tc>
          <w:tcPr>
            <w:tcW w:w="923" w:type="dxa"/>
            <w:noWrap/>
            <w:vAlign w:val="center"/>
          </w:tcPr>
          <w:p w14:paraId="7880658A">
            <w:pPr>
              <w:autoSpaceDE w:val="0"/>
              <w:spacing w:line="240" w:lineRule="auto"/>
              <w:jc w:val="center"/>
            </w:pPr>
            <w:r>
              <w:t>43.1</w:t>
            </w:r>
          </w:p>
        </w:tc>
      </w:tr>
      <w:tr w14:paraId="68F5E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853" w:type="dxa"/>
            <w:vMerge w:val="continue"/>
            <w:vAlign w:val="center"/>
          </w:tcPr>
          <w:p w14:paraId="384546A2">
            <w:pPr>
              <w:spacing w:line="240" w:lineRule="auto"/>
              <w:jc w:val="center"/>
              <w:rPr>
                <w:sz w:val="21"/>
                <w:szCs w:val="21"/>
              </w:rPr>
            </w:pPr>
          </w:p>
        </w:tc>
        <w:tc>
          <w:tcPr>
            <w:tcW w:w="2268" w:type="dxa"/>
            <w:vMerge w:val="continue"/>
            <w:vAlign w:val="center"/>
          </w:tcPr>
          <w:p w14:paraId="54B3840D">
            <w:pPr>
              <w:spacing w:line="240" w:lineRule="auto"/>
              <w:jc w:val="center"/>
              <w:rPr>
                <w:sz w:val="21"/>
                <w:szCs w:val="21"/>
              </w:rPr>
            </w:pPr>
          </w:p>
        </w:tc>
        <w:tc>
          <w:tcPr>
            <w:tcW w:w="2268" w:type="dxa"/>
            <w:noWrap/>
            <w:vAlign w:val="center"/>
          </w:tcPr>
          <w:p w14:paraId="05DDC057">
            <w:pPr>
              <w:autoSpaceDE w:val="0"/>
              <w:spacing w:line="240" w:lineRule="auto"/>
              <w:jc w:val="center"/>
            </w:pPr>
            <w:r>
              <w:rPr>
                <w:rFonts w:hint="eastAsia" w:cs="宋体"/>
              </w:rPr>
              <w:t>物理改性粉煤灰</w:t>
            </w:r>
          </w:p>
        </w:tc>
        <w:tc>
          <w:tcPr>
            <w:tcW w:w="992" w:type="dxa"/>
            <w:noWrap/>
            <w:vAlign w:val="center"/>
          </w:tcPr>
          <w:p w14:paraId="27288660">
            <w:pPr>
              <w:autoSpaceDE w:val="0"/>
              <w:spacing w:line="240" w:lineRule="auto"/>
              <w:jc w:val="center"/>
            </w:pPr>
            <w:r>
              <w:t>28.6</w:t>
            </w:r>
          </w:p>
        </w:tc>
        <w:tc>
          <w:tcPr>
            <w:tcW w:w="992" w:type="dxa"/>
            <w:noWrap/>
            <w:vAlign w:val="center"/>
          </w:tcPr>
          <w:p w14:paraId="58B7D043">
            <w:pPr>
              <w:autoSpaceDE w:val="0"/>
              <w:spacing w:line="240" w:lineRule="auto"/>
              <w:jc w:val="center"/>
            </w:pPr>
            <w:r>
              <w:t>44.5</w:t>
            </w:r>
          </w:p>
        </w:tc>
        <w:tc>
          <w:tcPr>
            <w:tcW w:w="923" w:type="dxa"/>
            <w:noWrap/>
            <w:vAlign w:val="center"/>
          </w:tcPr>
          <w:p w14:paraId="1EBD8DCF">
            <w:pPr>
              <w:autoSpaceDE w:val="0"/>
              <w:spacing w:line="240" w:lineRule="auto"/>
              <w:jc w:val="center"/>
            </w:pPr>
            <w:r>
              <w:t>45.3</w:t>
            </w:r>
          </w:p>
        </w:tc>
      </w:tr>
      <w:tr w14:paraId="1F50A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853" w:type="dxa"/>
            <w:vMerge w:val="restart"/>
            <w:noWrap/>
            <w:vAlign w:val="center"/>
          </w:tcPr>
          <w:p w14:paraId="3DBE3199">
            <w:pPr>
              <w:autoSpaceDE w:val="0"/>
              <w:spacing w:line="240" w:lineRule="auto"/>
              <w:jc w:val="center"/>
            </w:pPr>
            <w:r>
              <w:t>5</w:t>
            </w:r>
          </w:p>
        </w:tc>
        <w:tc>
          <w:tcPr>
            <w:tcW w:w="2268" w:type="dxa"/>
            <w:vMerge w:val="restart"/>
            <w:noWrap/>
            <w:vAlign w:val="center"/>
          </w:tcPr>
          <w:p w14:paraId="448195D8">
            <w:pPr>
              <w:autoSpaceDE w:val="0"/>
              <w:spacing w:line="240" w:lineRule="auto"/>
              <w:jc w:val="center"/>
            </w:pPr>
            <w:r>
              <w:t>50</w:t>
            </w:r>
          </w:p>
        </w:tc>
        <w:tc>
          <w:tcPr>
            <w:tcW w:w="2268" w:type="dxa"/>
            <w:noWrap/>
            <w:vAlign w:val="center"/>
          </w:tcPr>
          <w:p w14:paraId="3A5E6273">
            <w:pPr>
              <w:autoSpaceDE w:val="0"/>
              <w:spacing w:line="240" w:lineRule="auto"/>
              <w:jc w:val="center"/>
            </w:pPr>
            <w:r>
              <w:rPr>
                <w:rFonts w:hint="eastAsia" w:cs="宋体"/>
              </w:rPr>
              <w:t>原灰</w:t>
            </w:r>
          </w:p>
        </w:tc>
        <w:tc>
          <w:tcPr>
            <w:tcW w:w="992" w:type="dxa"/>
            <w:noWrap/>
            <w:vAlign w:val="center"/>
          </w:tcPr>
          <w:p w14:paraId="51F3AD98">
            <w:pPr>
              <w:autoSpaceDE w:val="0"/>
              <w:spacing w:line="240" w:lineRule="auto"/>
              <w:jc w:val="center"/>
            </w:pPr>
            <w:r>
              <w:t>15.9</w:t>
            </w:r>
          </w:p>
        </w:tc>
        <w:tc>
          <w:tcPr>
            <w:tcW w:w="992" w:type="dxa"/>
            <w:noWrap/>
            <w:vAlign w:val="center"/>
          </w:tcPr>
          <w:p w14:paraId="0C577591">
            <w:pPr>
              <w:autoSpaceDE w:val="0"/>
              <w:spacing w:line="240" w:lineRule="auto"/>
              <w:jc w:val="center"/>
            </w:pPr>
            <w:r>
              <w:t>26.2</w:t>
            </w:r>
          </w:p>
        </w:tc>
        <w:tc>
          <w:tcPr>
            <w:tcW w:w="923" w:type="dxa"/>
            <w:noWrap/>
            <w:vAlign w:val="center"/>
          </w:tcPr>
          <w:p w14:paraId="1245EAE2">
            <w:pPr>
              <w:autoSpaceDE w:val="0"/>
              <w:spacing w:line="240" w:lineRule="auto"/>
              <w:jc w:val="center"/>
            </w:pPr>
            <w:r>
              <w:t>33.4</w:t>
            </w:r>
          </w:p>
        </w:tc>
      </w:tr>
      <w:tr w14:paraId="6552A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853" w:type="dxa"/>
            <w:vMerge w:val="continue"/>
            <w:vAlign w:val="center"/>
          </w:tcPr>
          <w:p w14:paraId="73B889B9">
            <w:pPr>
              <w:spacing w:line="240" w:lineRule="auto"/>
              <w:jc w:val="center"/>
              <w:rPr>
                <w:sz w:val="21"/>
                <w:szCs w:val="21"/>
              </w:rPr>
            </w:pPr>
          </w:p>
        </w:tc>
        <w:tc>
          <w:tcPr>
            <w:tcW w:w="2268" w:type="dxa"/>
            <w:vMerge w:val="continue"/>
            <w:vAlign w:val="center"/>
          </w:tcPr>
          <w:p w14:paraId="098883CF">
            <w:pPr>
              <w:spacing w:line="240" w:lineRule="auto"/>
              <w:jc w:val="center"/>
              <w:rPr>
                <w:sz w:val="21"/>
                <w:szCs w:val="21"/>
              </w:rPr>
            </w:pPr>
          </w:p>
        </w:tc>
        <w:tc>
          <w:tcPr>
            <w:tcW w:w="2268" w:type="dxa"/>
            <w:noWrap/>
            <w:vAlign w:val="center"/>
          </w:tcPr>
          <w:p w14:paraId="55354A94">
            <w:pPr>
              <w:autoSpaceDE w:val="0"/>
              <w:spacing w:line="240" w:lineRule="auto"/>
              <w:jc w:val="center"/>
            </w:pPr>
            <w:r>
              <w:t>Ⅱ</w:t>
            </w:r>
            <w:r>
              <w:rPr>
                <w:rFonts w:hint="eastAsia" w:cs="宋体"/>
              </w:rPr>
              <w:t>级粉煤灰</w:t>
            </w:r>
          </w:p>
        </w:tc>
        <w:tc>
          <w:tcPr>
            <w:tcW w:w="992" w:type="dxa"/>
            <w:noWrap/>
            <w:vAlign w:val="center"/>
          </w:tcPr>
          <w:p w14:paraId="787AFA4F">
            <w:pPr>
              <w:autoSpaceDE w:val="0"/>
              <w:spacing w:line="240" w:lineRule="auto"/>
              <w:jc w:val="center"/>
            </w:pPr>
            <w:r>
              <w:t>17.6</w:t>
            </w:r>
          </w:p>
        </w:tc>
        <w:tc>
          <w:tcPr>
            <w:tcW w:w="992" w:type="dxa"/>
            <w:noWrap/>
            <w:vAlign w:val="center"/>
          </w:tcPr>
          <w:p w14:paraId="20E1B425">
            <w:pPr>
              <w:autoSpaceDE w:val="0"/>
              <w:spacing w:line="240" w:lineRule="auto"/>
              <w:jc w:val="center"/>
            </w:pPr>
            <w:r>
              <w:t>28.2</w:t>
            </w:r>
          </w:p>
        </w:tc>
        <w:tc>
          <w:tcPr>
            <w:tcW w:w="923" w:type="dxa"/>
            <w:noWrap/>
            <w:vAlign w:val="center"/>
          </w:tcPr>
          <w:p w14:paraId="0DC8A445">
            <w:pPr>
              <w:autoSpaceDE w:val="0"/>
              <w:spacing w:line="240" w:lineRule="auto"/>
              <w:jc w:val="center"/>
            </w:pPr>
            <w:r>
              <w:t>38.2</w:t>
            </w:r>
          </w:p>
        </w:tc>
      </w:tr>
      <w:tr w14:paraId="31ED8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853" w:type="dxa"/>
            <w:vMerge w:val="continue"/>
            <w:vAlign w:val="center"/>
          </w:tcPr>
          <w:p w14:paraId="2DEC686B">
            <w:pPr>
              <w:spacing w:line="240" w:lineRule="auto"/>
              <w:jc w:val="center"/>
              <w:rPr>
                <w:sz w:val="21"/>
                <w:szCs w:val="21"/>
              </w:rPr>
            </w:pPr>
          </w:p>
        </w:tc>
        <w:tc>
          <w:tcPr>
            <w:tcW w:w="2268" w:type="dxa"/>
            <w:vMerge w:val="continue"/>
            <w:vAlign w:val="center"/>
          </w:tcPr>
          <w:p w14:paraId="616EA5D7">
            <w:pPr>
              <w:spacing w:line="240" w:lineRule="auto"/>
              <w:jc w:val="center"/>
              <w:rPr>
                <w:sz w:val="21"/>
                <w:szCs w:val="21"/>
              </w:rPr>
            </w:pPr>
          </w:p>
        </w:tc>
        <w:tc>
          <w:tcPr>
            <w:tcW w:w="2268" w:type="dxa"/>
            <w:noWrap/>
            <w:vAlign w:val="center"/>
          </w:tcPr>
          <w:p w14:paraId="6CDD0231">
            <w:pPr>
              <w:autoSpaceDE w:val="0"/>
              <w:spacing w:line="240" w:lineRule="auto"/>
              <w:jc w:val="center"/>
            </w:pPr>
            <w:r>
              <w:rPr>
                <w:rFonts w:hint="eastAsia" w:cs="宋体"/>
              </w:rPr>
              <w:t>物理改性粉煤灰</w:t>
            </w:r>
          </w:p>
        </w:tc>
        <w:tc>
          <w:tcPr>
            <w:tcW w:w="992" w:type="dxa"/>
            <w:noWrap/>
            <w:vAlign w:val="center"/>
          </w:tcPr>
          <w:p w14:paraId="75AA10E0">
            <w:pPr>
              <w:autoSpaceDE w:val="0"/>
              <w:spacing w:line="240" w:lineRule="auto"/>
              <w:jc w:val="center"/>
            </w:pPr>
            <w:r>
              <w:t>20.9</w:t>
            </w:r>
          </w:p>
        </w:tc>
        <w:tc>
          <w:tcPr>
            <w:tcW w:w="992" w:type="dxa"/>
            <w:noWrap/>
            <w:vAlign w:val="center"/>
          </w:tcPr>
          <w:p w14:paraId="185663FA">
            <w:pPr>
              <w:autoSpaceDE w:val="0"/>
              <w:spacing w:line="240" w:lineRule="auto"/>
              <w:jc w:val="center"/>
            </w:pPr>
            <w:r>
              <w:t>34.9</w:t>
            </w:r>
          </w:p>
        </w:tc>
        <w:tc>
          <w:tcPr>
            <w:tcW w:w="923" w:type="dxa"/>
            <w:noWrap/>
            <w:vAlign w:val="center"/>
          </w:tcPr>
          <w:p w14:paraId="45463860">
            <w:pPr>
              <w:autoSpaceDE w:val="0"/>
              <w:spacing w:line="240" w:lineRule="auto"/>
              <w:jc w:val="center"/>
            </w:pPr>
            <w:r>
              <w:t>40.8</w:t>
            </w:r>
          </w:p>
        </w:tc>
      </w:tr>
    </w:tbl>
    <w:p w14:paraId="4EFE2F65">
      <w:pPr>
        <w:jc w:val="center"/>
        <w:rPr>
          <w:sz w:val="21"/>
          <w:szCs w:val="21"/>
        </w:rPr>
      </w:pPr>
      <w:r>
        <w:drawing>
          <wp:inline distT="0" distB="0" distL="0" distR="0">
            <wp:extent cx="3764280" cy="2159635"/>
            <wp:effectExtent l="0" t="0" r="7620" b="0"/>
            <wp:docPr id="14483113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311387"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764369" cy="2160000"/>
                    </a:xfrm>
                    <a:prstGeom prst="rect">
                      <a:avLst/>
                    </a:prstGeom>
                    <a:noFill/>
                    <a:ln>
                      <a:noFill/>
                    </a:ln>
                  </pic:spPr>
                </pic:pic>
              </a:graphicData>
            </a:graphic>
          </wp:inline>
        </w:drawing>
      </w:r>
      <w:r>
        <w:t xml:space="preserve"> </w:t>
      </w:r>
    </w:p>
    <w:p w14:paraId="086D232A">
      <w:pPr>
        <w:jc w:val="center"/>
      </w:pPr>
      <w:bookmarkStart w:id="22" w:name="_Ref230721833"/>
      <w:r>
        <w:rPr>
          <w:rFonts w:hint="eastAsia"/>
          <w:color w:val="000000"/>
        </w:rPr>
        <w:t>图</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8</w:t>
      </w:r>
      <w:r>
        <w:rPr>
          <w:color w:val="000000"/>
        </w:rPr>
        <w:fldChar w:fldCharType="end"/>
      </w:r>
      <w:bookmarkEnd w:id="22"/>
      <w:r>
        <w:rPr>
          <w:rFonts w:hint="eastAsia"/>
          <w:color w:val="000000"/>
        </w:rPr>
        <w:t xml:space="preserve"> </w:t>
      </w:r>
      <w:r>
        <w:rPr>
          <w:rFonts w:hint="eastAsia" w:cs="宋体"/>
        </w:rPr>
        <w:t>物理改性粉煤灰与</w:t>
      </w:r>
      <w:r>
        <w:t>Ⅱ</w:t>
      </w:r>
      <w:r>
        <w:rPr>
          <w:rFonts w:hint="eastAsia" w:cs="宋体"/>
        </w:rPr>
        <w:t>级粉煤灰对</w:t>
      </w:r>
      <w:r>
        <w:t>C30</w:t>
      </w:r>
      <w:r>
        <w:rPr>
          <w:rFonts w:hint="eastAsia" w:cs="宋体"/>
        </w:rPr>
        <w:t>混凝土强度影响</w:t>
      </w:r>
      <w:r>
        <w:t xml:space="preserve"> </w:t>
      </w:r>
    </w:p>
    <w:p w14:paraId="12758603">
      <w:pPr>
        <w:jc w:val="center"/>
        <w:rPr>
          <w:sz w:val="28"/>
          <w:szCs w:val="28"/>
        </w:rPr>
      </w:pPr>
      <w:r>
        <w:drawing>
          <wp:inline distT="0" distB="0" distL="0" distR="0">
            <wp:extent cx="3549650" cy="2159635"/>
            <wp:effectExtent l="0" t="0" r="0" b="0"/>
            <wp:docPr id="11345973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597339" name="图片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549883" cy="2160000"/>
                    </a:xfrm>
                    <a:prstGeom prst="rect">
                      <a:avLst/>
                    </a:prstGeom>
                    <a:noFill/>
                    <a:ln>
                      <a:noFill/>
                    </a:ln>
                  </pic:spPr>
                </pic:pic>
              </a:graphicData>
            </a:graphic>
          </wp:inline>
        </w:drawing>
      </w:r>
    </w:p>
    <w:p w14:paraId="41A2DE62">
      <w:pPr>
        <w:jc w:val="center"/>
        <w:rPr>
          <w:sz w:val="21"/>
          <w:szCs w:val="21"/>
        </w:rPr>
      </w:pPr>
      <w:bookmarkStart w:id="23" w:name="_Ref230721834"/>
      <w:r>
        <w:rPr>
          <w:rFonts w:hint="eastAsia"/>
          <w:color w:val="000000"/>
        </w:rPr>
        <w:t>图</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9</w:t>
      </w:r>
      <w:r>
        <w:rPr>
          <w:color w:val="000000"/>
        </w:rPr>
        <w:fldChar w:fldCharType="end"/>
      </w:r>
      <w:bookmarkEnd w:id="23"/>
      <w:r>
        <w:rPr>
          <w:rFonts w:hint="eastAsia"/>
          <w:color w:val="000000"/>
        </w:rPr>
        <w:t xml:space="preserve"> </w:t>
      </w:r>
      <w:r>
        <w:rPr>
          <w:rFonts w:hint="eastAsia" w:cs="宋体"/>
        </w:rPr>
        <w:t>物理改性粉煤灰与原灰对</w:t>
      </w:r>
      <w:r>
        <w:t>C30</w:t>
      </w:r>
      <w:r>
        <w:rPr>
          <w:rFonts w:hint="eastAsia" w:cs="宋体"/>
        </w:rPr>
        <w:t>混凝土强度影响</w:t>
      </w:r>
    </w:p>
    <w:p w14:paraId="203A1F68">
      <w:pPr>
        <w:ind w:firstLine="480" w:firstLineChars="200"/>
      </w:pPr>
      <w:r>
        <w:rPr>
          <w:rFonts w:hint="eastAsia" w:cs="宋体"/>
        </w:rPr>
        <w:t>对于</w:t>
      </w:r>
      <w:r>
        <w:t>C30</w:t>
      </w:r>
      <w:r>
        <w:rPr>
          <w:rFonts w:hint="eastAsia" w:cs="宋体"/>
        </w:rPr>
        <w:t>混凝土，相较</w:t>
      </w:r>
      <w:r>
        <w:t>Ⅱ</w:t>
      </w:r>
      <w:r>
        <w:rPr>
          <w:rFonts w:hint="eastAsia" w:cs="宋体"/>
        </w:rPr>
        <w:t>级粉煤灰，掺入</w:t>
      </w:r>
      <w:r>
        <w:t>10%</w:t>
      </w:r>
      <w:r>
        <w:rPr>
          <w:rFonts w:hint="eastAsia" w:cs="宋体"/>
        </w:rPr>
        <w:t>物理改性粉煤灰时混凝土强度上升</w:t>
      </w:r>
      <w:r>
        <w:t>6.12%</w:t>
      </w:r>
      <w:r>
        <w:rPr>
          <w:rFonts w:hint="eastAsia" w:cs="宋体"/>
        </w:rPr>
        <w:t>；掺入</w:t>
      </w:r>
      <w:r>
        <w:t>20%</w:t>
      </w:r>
      <w:r>
        <w:rPr>
          <w:rFonts w:hint="eastAsia" w:cs="宋体"/>
        </w:rPr>
        <w:t>物理改性粉煤灰时混凝土强度上升</w:t>
      </w:r>
      <w:r>
        <w:t>7.21%</w:t>
      </w:r>
      <w:r>
        <w:rPr>
          <w:rFonts w:hint="eastAsia" w:cs="宋体"/>
        </w:rPr>
        <w:t>；掺入</w:t>
      </w:r>
      <w:r>
        <w:t>30%</w:t>
      </w:r>
      <w:r>
        <w:rPr>
          <w:rFonts w:hint="eastAsia" w:cs="宋体"/>
        </w:rPr>
        <w:t>物理改性粉煤灰时混凝土强度上升</w:t>
      </w:r>
      <w:r>
        <w:t>9.05%</w:t>
      </w:r>
      <w:r>
        <w:rPr>
          <w:rFonts w:hint="eastAsia" w:cs="宋体"/>
        </w:rPr>
        <w:t>；掺入</w:t>
      </w:r>
      <w:r>
        <w:t>40%</w:t>
      </w:r>
      <w:r>
        <w:rPr>
          <w:rFonts w:hint="eastAsia" w:cs="宋体"/>
        </w:rPr>
        <w:t>物理改性粉煤灰时混凝土强度上升</w:t>
      </w:r>
      <w:r>
        <w:t>20.60%</w:t>
      </w:r>
      <w:r>
        <w:rPr>
          <w:rFonts w:hint="eastAsia" w:cs="宋体"/>
        </w:rPr>
        <w:t>；掺入</w:t>
      </w:r>
      <w:r>
        <w:t>50%</w:t>
      </w:r>
      <w:r>
        <w:rPr>
          <w:rFonts w:hint="eastAsia" w:cs="宋体"/>
        </w:rPr>
        <w:t>物理改性粉煤灰时混凝土强度上升</w:t>
      </w:r>
      <w:r>
        <w:t>23.76%</w:t>
      </w:r>
      <w:r>
        <w:rPr>
          <w:rFonts w:hint="eastAsia" w:cs="宋体"/>
        </w:rPr>
        <w:t>。相较原灰，掺入</w:t>
      </w:r>
      <w:r>
        <w:t>10%</w:t>
      </w:r>
      <w:r>
        <w:rPr>
          <w:rFonts w:hint="eastAsia" w:cs="宋体"/>
        </w:rPr>
        <w:t>物理改性粉煤灰时混凝土强度上升</w:t>
      </w:r>
      <w:r>
        <w:t>7.48%</w:t>
      </w:r>
      <w:r>
        <w:rPr>
          <w:rFonts w:hint="eastAsia" w:cs="宋体"/>
        </w:rPr>
        <w:t>；掺入</w:t>
      </w:r>
      <w:r>
        <w:t>20%</w:t>
      </w:r>
      <w:r>
        <w:rPr>
          <w:rFonts w:hint="eastAsia" w:cs="宋体"/>
        </w:rPr>
        <w:t>物理改性粉煤灰时混凝土强度上升</w:t>
      </w:r>
      <w:r>
        <w:t>16.10%</w:t>
      </w:r>
      <w:r>
        <w:rPr>
          <w:rFonts w:hint="eastAsia" w:cs="宋体"/>
        </w:rPr>
        <w:t>；掺入</w:t>
      </w:r>
      <w:r>
        <w:t>30%</w:t>
      </w:r>
      <w:r>
        <w:rPr>
          <w:rFonts w:hint="eastAsia" w:cs="宋体"/>
        </w:rPr>
        <w:t>物理改性粉煤灰时混凝土强度上升</w:t>
      </w:r>
      <w:r>
        <w:t>12.63%</w:t>
      </w:r>
      <w:r>
        <w:rPr>
          <w:rFonts w:hint="eastAsia" w:cs="宋体"/>
        </w:rPr>
        <w:t>；掺入</w:t>
      </w:r>
      <w:r>
        <w:t>40%</w:t>
      </w:r>
      <w:r>
        <w:rPr>
          <w:rFonts w:hint="eastAsia" w:cs="宋体"/>
        </w:rPr>
        <w:t>物理改性粉煤灰时混凝土强度上升</w:t>
      </w:r>
      <w:r>
        <w:t>26.06%</w:t>
      </w:r>
      <w:r>
        <w:rPr>
          <w:rFonts w:hint="eastAsia" w:cs="宋体"/>
        </w:rPr>
        <w:t>；掺入</w:t>
      </w:r>
      <w:r>
        <w:t>50%</w:t>
      </w:r>
      <w:r>
        <w:rPr>
          <w:rFonts w:hint="eastAsia" w:cs="宋体"/>
        </w:rPr>
        <w:t>物理改性粉煤灰时混凝土强度上升</w:t>
      </w:r>
      <w:r>
        <w:t>33.21%，</w:t>
      </w:r>
      <w:r>
        <w:rPr>
          <w:rFonts w:hint="eastAsia"/>
        </w:rPr>
        <w:t>可达到C30混凝土强度等级，而原灰和</w:t>
      </w:r>
      <w:r>
        <w:rPr>
          <w:color w:val="000000"/>
        </w:rPr>
        <w:t>Ⅱ</w:t>
      </w:r>
      <w:r>
        <w:rPr>
          <w:rFonts w:hint="eastAsia"/>
        </w:rPr>
        <w:t>级灰达不到C30混凝土强度等级要求</w:t>
      </w:r>
      <w:r>
        <w:rPr>
          <w:rFonts w:hint="eastAsia" w:cs="宋体"/>
        </w:rPr>
        <w:t>。</w:t>
      </w:r>
    </w:p>
    <w:p w14:paraId="538E2D96">
      <w:pPr>
        <w:rPr>
          <w:rFonts w:hint="eastAsia"/>
        </w:rPr>
      </w:pPr>
      <w:bookmarkStart w:id="24" w:name="_Ref230721552"/>
      <w:r>
        <w:rPr>
          <w:rFonts w:hint="eastAsia"/>
        </w:rPr>
        <w:br w:type="page"/>
      </w:r>
    </w:p>
    <w:p w14:paraId="03FCB500">
      <w:pPr>
        <w:autoSpaceDE w:val="0"/>
        <w:jc w:val="center"/>
      </w:pPr>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15</w:t>
      </w:r>
      <w:r>
        <w:fldChar w:fldCharType="end"/>
      </w:r>
      <w:bookmarkEnd w:id="24"/>
      <w:r>
        <w:rPr>
          <w:rFonts w:hint="eastAsia"/>
        </w:rPr>
        <w:t xml:space="preserve"> </w:t>
      </w:r>
      <w:r>
        <w:rPr>
          <w:rFonts w:hint="eastAsia" w:cs="宋体"/>
        </w:rPr>
        <w:t>粉煤灰不同掺量对</w:t>
      </w:r>
      <w:r>
        <w:t>C45</w:t>
      </w:r>
      <w:r>
        <w:rPr>
          <w:rFonts w:hint="eastAsia" w:cs="宋体"/>
        </w:rPr>
        <w:t>混凝土强度影响</w:t>
      </w:r>
    </w:p>
    <w:tbl>
      <w:tblPr>
        <w:tblStyle w:val="1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4"/>
        <w:gridCol w:w="2183"/>
        <w:gridCol w:w="2185"/>
        <w:gridCol w:w="1144"/>
        <w:gridCol w:w="1144"/>
        <w:gridCol w:w="1142"/>
      </w:tblGrid>
      <w:tr w14:paraId="62B11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425" w:type="pct"/>
            <w:vMerge w:val="restart"/>
            <w:noWrap/>
            <w:vAlign w:val="center"/>
          </w:tcPr>
          <w:p w14:paraId="0D1A57DC">
            <w:pPr>
              <w:autoSpaceDE w:val="0"/>
              <w:spacing w:line="240" w:lineRule="auto"/>
              <w:jc w:val="center"/>
            </w:pPr>
            <w:r>
              <w:rPr>
                <w:rFonts w:hint="eastAsia" w:cs="宋体"/>
              </w:rPr>
              <w:t>序号</w:t>
            </w:r>
          </w:p>
        </w:tc>
        <w:tc>
          <w:tcPr>
            <w:tcW w:w="1281" w:type="pct"/>
            <w:vMerge w:val="restart"/>
            <w:noWrap/>
            <w:vAlign w:val="center"/>
          </w:tcPr>
          <w:p w14:paraId="46A95888">
            <w:pPr>
              <w:autoSpaceDE w:val="0"/>
              <w:spacing w:line="240" w:lineRule="auto"/>
              <w:jc w:val="center"/>
            </w:pPr>
            <w:r>
              <w:rPr>
                <w:rFonts w:hint="eastAsia" w:cs="宋体"/>
              </w:rPr>
              <w:t>粉煤灰掺量（</w:t>
            </w:r>
            <w:r>
              <w:t>%</w:t>
            </w:r>
            <w:r>
              <w:rPr>
                <w:rFonts w:hint="eastAsia" w:cs="宋体"/>
              </w:rPr>
              <w:t>）</w:t>
            </w:r>
          </w:p>
        </w:tc>
        <w:tc>
          <w:tcPr>
            <w:tcW w:w="1282" w:type="pct"/>
            <w:vMerge w:val="restart"/>
            <w:noWrap/>
            <w:vAlign w:val="center"/>
          </w:tcPr>
          <w:p w14:paraId="69B6296D">
            <w:pPr>
              <w:autoSpaceDE w:val="0"/>
              <w:spacing w:line="240" w:lineRule="auto"/>
              <w:jc w:val="center"/>
            </w:pPr>
            <w:r>
              <w:rPr>
                <w:rFonts w:hint="eastAsia" w:cs="宋体"/>
              </w:rPr>
              <w:t>品名</w:t>
            </w:r>
          </w:p>
        </w:tc>
        <w:tc>
          <w:tcPr>
            <w:tcW w:w="2012" w:type="pct"/>
            <w:gridSpan w:val="3"/>
            <w:noWrap/>
            <w:vAlign w:val="center"/>
          </w:tcPr>
          <w:p w14:paraId="0C603A81">
            <w:pPr>
              <w:autoSpaceDE w:val="0"/>
              <w:spacing w:line="240" w:lineRule="auto"/>
              <w:jc w:val="center"/>
            </w:pPr>
            <w:r>
              <w:rPr>
                <w:rFonts w:hint="eastAsia" w:cs="宋体"/>
              </w:rPr>
              <w:t>强度（</w:t>
            </w:r>
            <w:r>
              <w:t>MPa</w:t>
            </w:r>
            <w:r>
              <w:rPr>
                <w:rFonts w:hint="eastAsia" w:cs="宋体"/>
              </w:rPr>
              <w:t>）</w:t>
            </w:r>
          </w:p>
        </w:tc>
      </w:tr>
      <w:tr w14:paraId="4AFE2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25" w:type="pct"/>
            <w:vMerge w:val="continue"/>
            <w:vAlign w:val="center"/>
          </w:tcPr>
          <w:p w14:paraId="3FA56945">
            <w:pPr>
              <w:spacing w:line="240" w:lineRule="auto"/>
              <w:jc w:val="left"/>
              <w:rPr>
                <w:sz w:val="21"/>
                <w:szCs w:val="21"/>
              </w:rPr>
            </w:pPr>
          </w:p>
        </w:tc>
        <w:tc>
          <w:tcPr>
            <w:tcW w:w="1281" w:type="pct"/>
            <w:vMerge w:val="continue"/>
            <w:vAlign w:val="center"/>
          </w:tcPr>
          <w:p w14:paraId="47C448CB">
            <w:pPr>
              <w:spacing w:line="240" w:lineRule="auto"/>
              <w:jc w:val="left"/>
              <w:rPr>
                <w:sz w:val="21"/>
                <w:szCs w:val="21"/>
              </w:rPr>
            </w:pPr>
          </w:p>
        </w:tc>
        <w:tc>
          <w:tcPr>
            <w:tcW w:w="1282" w:type="pct"/>
            <w:vMerge w:val="continue"/>
            <w:vAlign w:val="center"/>
          </w:tcPr>
          <w:p w14:paraId="50296D96">
            <w:pPr>
              <w:spacing w:line="240" w:lineRule="auto"/>
              <w:jc w:val="left"/>
              <w:rPr>
                <w:sz w:val="21"/>
                <w:szCs w:val="21"/>
              </w:rPr>
            </w:pPr>
          </w:p>
        </w:tc>
        <w:tc>
          <w:tcPr>
            <w:tcW w:w="671" w:type="pct"/>
            <w:noWrap/>
            <w:vAlign w:val="center"/>
          </w:tcPr>
          <w:p w14:paraId="605DE52A">
            <w:pPr>
              <w:autoSpaceDE w:val="0"/>
              <w:spacing w:line="240" w:lineRule="auto"/>
              <w:jc w:val="center"/>
            </w:pPr>
            <w:r>
              <w:t>7d</w:t>
            </w:r>
          </w:p>
        </w:tc>
        <w:tc>
          <w:tcPr>
            <w:tcW w:w="671" w:type="pct"/>
            <w:noWrap/>
            <w:vAlign w:val="center"/>
          </w:tcPr>
          <w:p w14:paraId="0D2D55A7">
            <w:pPr>
              <w:autoSpaceDE w:val="0"/>
              <w:spacing w:line="240" w:lineRule="auto"/>
              <w:jc w:val="center"/>
            </w:pPr>
            <w:r>
              <w:t>28d</w:t>
            </w:r>
          </w:p>
        </w:tc>
        <w:tc>
          <w:tcPr>
            <w:tcW w:w="671" w:type="pct"/>
            <w:noWrap/>
            <w:vAlign w:val="center"/>
          </w:tcPr>
          <w:p w14:paraId="1F3B8F88">
            <w:pPr>
              <w:autoSpaceDE w:val="0"/>
              <w:spacing w:line="240" w:lineRule="auto"/>
              <w:jc w:val="center"/>
            </w:pPr>
            <w:r>
              <w:t>60d</w:t>
            </w:r>
          </w:p>
        </w:tc>
      </w:tr>
      <w:tr w14:paraId="080C6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25" w:type="pct"/>
            <w:vMerge w:val="restart"/>
            <w:noWrap/>
            <w:vAlign w:val="center"/>
          </w:tcPr>
          <w:p w14:paraId="122490E0">
            <w:pPr>
              <w:autoSpaceDE w:val="0"/>
              <w:spacing w:line="240" w:lineRule="auto"/>
              <w:jc w:val="center"/>
            </w:pPr>
            <w:r>
              <w:t>1</w:t>
            </w:r>
          </w:p>
        </w:tc>
        <w:tc>
          <w:tcPr>
            <w:tcW w:w="1281" w:type="pct"/>
            <w:vMerge w:val="restart"/>
            <w:noWrap/>
            <w:vAlign w:val="center"/>
          </w:tcPr>
          <w:p w14:paraId="1FD69BE5">
            <w:pPr>
              <w:autoSpaceDE w:val="0"/>
              <w:spacing w:line="240" w:lineRule="auto"/>
              <w:jc w:val="center"/>
            </w:pPr>
            <w:r>
              <w:t>10</w:t>
            </w:r>
          </w:p>
        </w:tc>
        <w:tc>
          <w:tcPr>
            <w:tcW w:w="1282" w:type="pct"/>
            <w:noWrap/>
            <w:vAlign w:val="center"/>
          </w:tcPr>
          <w:p w14:paraId="072774B7">
            <w:pPr>
              <w:autoSpaceDE w:val="0"/>
              <w:spacing w:line="240" w:lineRule="auto"/>
              <w:jc w:val="center"/>
            </w:pPr>
            <w:r>
              <w:rPr>
                <w:rFonts w:hint="eastAsia" w:cs="宋体"/>
              </w:rPr>
              <w:t>原灰</w:t>
            </w:r>
          </w:p>
        </w:tc>
        <w:tc>
          <w:tcPr>
            <w:tcW w:w="671" w:type="pct"/>
            <w:noWrap/>
            <w:vAlign w:val="center"/>
          </w:tcPr>
          <w:p w14:paraId="0FB53FC3">
            <w:pPr>
              <w:autoSpaceDE w:val="0"/>
              <w:spacing w:line="240" w:lineRule="auto"/>
              <w:jc w:val="center"/>
            </w:pPr>
            <w:r>
              <w:t>42.4</w:t>
            </w:r>
          </w:p>
        </w:tc>
        <w:tc>
          <w:tcPr>
            <w:tcW w:w="671" w:type="pct"/>
            <w:noWrap/>
            <w:vAlign w:val="center"/>
          </w:tcPr>
          <w:p w14:paraId="375BE6EB">
            <w:pPr>
              <w:autoSpaceDE w:val="0"/>
              <w:spacing w:line="240" w:lineRule="auto"/>
              <w:jc w:val="center"/>
            </w:pPr>
            <w:r>
              <w:t>54.6</w:t>
            </w:r>
          </w:p>
        </w:tc>
        <w:tc>
          <w:tcPr>
            <w:tcW w:w="671" w:type="pct"/>
            <w:noWrap/>
            <w:vAlign w:val="center"/>
          </w:tcPr>
          <w:p w14:paraId="5BB69F5C">
            <w:pPr>
              <w:autoSpaceDE w:val="0"/>
              <w:spacing w:line="240" w:lineRule="auto"/>
              <w:jc w:val="center"/>
            </w:pPr>
            <w:r>
              <w:t xml:space="preserve">57.8 </w:t>
            </w:r>
          </w:p>
        </w:tc>
      </w:tr>
      <w:tr w14:paraId="46BA4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25" w:type="pct"/>
            <w:vMerge w:val="continue"/>
            <w:vAlign w:val="center"/>
          </w:tcPr>
          <w:p w14:paraId="5F99400D">
            <w:pPr>
              <w:spacing w:line="240" w:lineRule="auto"/>
              <w:jc w:val="left"/>
              <w:rPr>
                <w:sz w:val="21"/>
                <w:szCs w:val="21"/>
              </w:rPr>
            </w:pPr>
          </w:p>
        </w:tc>
        <w:tc>
          <w:tcPr>
            <w:tcW w:w="1281" w:type="pct"/>
            <w:vMerge w:val="continue"/>
            <w:vAlign w:val="center"/>
          </w:tcPr>
          <w:p w14:paraId="153B2810">
            <w:pPr>
              <w:spacing w:line="240" w:lineRule="auto"/>
              <w:jc w:val="left"/>
              <w:rPr>
                <w:sz w:val="21"/>
                <w:szCs w:val="21"/>
              </w:rPr>
            </w:pPr>
          </w:p>
        </w:tc>
        <w:tc>
          <w:tcPr>
            <w:tcW w:w="1282" w:type="pct"/>
            <w:noWrap/>
            <w:vAlign w:val="center"/>
          </w:tcPr>
          <w:p w14:paraId="197CB286">
            <w:pPr>
              <w:autoSpaceDE w:val="0"/>
              <w:spacing w:line="240" w:lineRule="auto"/>
              <w:jc w:val="center"/>
            </w:pPr>
            <w:r>
              <w:t>Ⅱ</w:t>
            </w:r>
            <w:r>
              <w:rPr>
                <w:rFonts w:hint="eastAsia" w:cs="宋体"/>
              </w:rPr>
              <w:t>级粉煤灰</w:t>
            </w:r>
          </w:p>
        </w:tc>
        <w:tc>
          <w:tcPr>
            <w:tcW w:w="671" w:type="pct"/>
            <w:noWrap/>
            <w:vAlign w:val="center"/>
          </w:tcPr>
          <w:p w14:paraId="5FD987CF">
            <w:pPr>
              <w:autoSpaceDE w:val="0"/>
              <w:spacing w:line="240" w:lineRule="auto"/>
              <w:jc w:val="center"/>
            </w:pPr>
            <w:r>
              <w:t>43.8</w:t>
            </w:r>
          </w:p>
        </w:tc>
        <w:tc>
          <w:tcPr>
            <w:tcW w:w="671" w:type="pct"/>
            <w:noWrap/>
            <w:vAlign w:val="center"/>
          </w:tcPr>
          <w:p w14:paraId="373BF4D4">
            <w:pPr>
              <w:autoSpaceDE w:val="0"/>
              <w:spacing w:line="240" w:lineRule="auto"/>
              <w:jc w:val="center"/>
            </w:pPr>
            <w:r>
              <w:t>59.8</w:t>
            </w:r>
          </w:p>
        </w:tc>
        <w:tc>
          <w:tcPr>
            <w:tcW w:w="671" w:type="pct"/>
            <w:noWrap/>
            <w:vAlign w:val="center"/>
          </w:tcPr>
          <w:p w14:paraId="122C40AF">
            <w:pPr>
              <w:autoSpaceDE w:val="0"/>
              <w:spacing w:line="240" w:lineRule="auto"/>
              <w:jc w:val="center"/>
            </w:pPr>
            <w:r>
              <w:t xml:space="preserve">68.2 </w:t>
            </w:r>
          </w:p>
        </w:tc>
      </w:tr>
      <w:tr w14:paraId="3B876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25" w:type="pct"/>
            <w:vMerge w:val="continue"/>
            <w:vAlign w:val="center"/>
          </w:tcPr>
          <w:p w14:paraId="725BBAFE">
            <w:pPr>
              <w:spacing w:line="240" w:lineRule="auto"/>
              <w:jc w:val="left"/>
              <w:rPr>
                <w:sz w:val="21"/>
                <w:szCs w:val="21"/>
              </w:rPr>
            </w:pPr>
          </w:p>
        </w:tc>
        <w:tc>
          <w:tcPr>
            <w:tcW w:w="1281" w:type="pct"/>
            <w:vMerge w:val="continue"/>
            <w:vAlign w:val="center"/>
          </w:tcPr>
          <w:p w14:paraId="44218BFF">
            <w:pPr>
              <w:spacing w:line="240" w:lineRule="auto"/>
              <w:jc w:val="left"/>
              <w:rPr>
                <w:sz w:val="21"/>
                <w:szCs w:val="21"/>
              </w:rPr>
            </w:pPr>
          </w:p>
        </w:tc>
        <w:tc>
          <w:tcPr>
            <w:tcW w:w="1282" w:type="pct"/>
            <w:noWrap/>
            <w:vAlign w:val="center"/>
          </w:tcPr>
          <w:p w14:paraId="56049ADD">
            <w:pPr>
              <w:autoSpaceDE w:val="0"/>
              <w:spacing w:line="240" w:lineRule="auto"/>
              <w:jc w:val="center"/>
            </w:pPr>
            <w:r>
              <w:rPr>
                <w:rFonts w:hint="eastAsia" w:cs="宋体"/>
              </w:rPr>
              <w:t>物理改性粉煤灰</w:t>
            </w:r>
          </w:p>
        </w:tc>
        <w:tc>
          <w:tcPr>
            <w:tcW w:w="671" w:type="pct"/>
            <w:noWrap/>
            <w:vAlign w:val="center"/>
          </w:tcPr>
          <w:p w14:paraId="09B5F957">
            <w:pPr>
              <w:autoSpaceDE w:val="0"/>
              <w:spacing w:line="240" w:lineRule="auto"/>
              <w:jc w:val="center"/>
            </w:pPr>
            <w:r>
              <w:t>49.7</w:t>
            </w:r>
          </w:p>
        </w:tc>
        <w:tc>
          <w:tcPr>
            <w:tcW w:w="671" w:type="pct"/>
            <w:noWrap/>
            <w:vAlign w:val="center"/>
          </w:tcPr>
          <w:p w14:paraId="252B250C">
            <w:pPr>
              <w:autoSpaceDE w:val="0"/>
              <w:spacing w:line="240" w:lineRule="auto"/>
              <w:jc w:val="center"/>
            </w:pPr>
            <w:r>
              <w:t>63.4</w:t>
            </w:r>
          </w:p>
        </w:tc>
        <w:tc>
          <w:tcPr>
            <w:tcW w:w="671" w:type="pct"/>
            <w:noWrap/>
            <w:vAlign w:val="center"/>
          </w:tcPr>
          <w:p w14:paraId="0338F7CF">
            <w:pPr>
              <w:autoSpaceDE w:val="0"/>
              <w:spacing w:line="240" w:lineRule="auto"/>
              <w:jc w:val="center"/>
            </w:pPr>
            <w:r>
              <w:t xml:space="preserve">71.5 </w:t>
            </w:r>
          </w:p>
        </w:tc>
      </w:tr>
      <w:tr w14:paraId="50D68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25" w:type="pct"/>
            <w:vMerge w:val="restart"/>
            <w:noWrap/>
            <w:vAlign w:val="center"/>
          </w:tcPr>
          <w:p w14:paraId="54961ABB">
            <w:pPr>
              <w:autoSpaceDE w:val="0"/>
              <w:spacing w:line="240" w:lineRule="auto"/>
              <w:jc w:val="center"/>
            </w:pPr>
            <w:r>
              <w:t>2</w:t>
            </w:r>
          </w:p>
        </w:tc>
        <w:tc>
          <w:tcPr>
            <w:tcW w:w="1281" w:type="pct"/>
            <w:vMerge w:val="restart"/>
            <w:noWrap/>
            <w:vAlign w:val="center"/>
          </w:tcPr>
          <w:p w14:paraId="1D8C59A4">
            <w:pPr>
              <w:autoSpaceDE w:val="0"/>
              <w:spacing w:line="240" w:lineRule="auto"/>
              <w:jc w:val="center"/>
            </w:pPr>
            <w:r>
              <w:t>20</w:t>
            </w:r>
          </w:p>
        </w:tc>
        <w:tc>
          <w:tcPr>
            <w:tcW w:w="1282" w:type="pct"/>
            <w:noWrap/>
            <w:vAlign w:val="center"/>
          </w:tcPr>
          <w:p w14:paraId="2C57BD06">
            <w:pPr>
              <w:autoSpaceDE w:val="0"/>
              <w:spacing w:line="240" w:lineRule="auto"/>
              <w:jc w:val="center"/>
            </w:pPr>
            <w:r>
              <w:rPr>
                <w:rFonts w:hint="eastAsia" w:cs="宋体"/>
              </w:rPr>
              <w:t>原灰</w:t>
            </w:r>
          </w:p>
        </w:tc>
        <w:tc>
          <w:tcPr>
            <w:tcW w:w="671" w:type="pct"/>
            <w:noWrap/>
            <w:vAlign w:val="center"/>
          </w:tcPr>
          <w:p w14:paraId="3CFB5DDB">
            <w:pPr>
              <w:autoSpaceDE w:val="0"/>
              <w:spacing w:line="240" w:lineRule="auto"/>
              <w:jc w:val="center"/>
            </w:pPr>
            <w:r>
              <w:t>41.8</w:t>
            </w:r>
          </w:p>
        </w:tc>
        <w:tc>
          <w:tcPr>
            <w:tcW w:w="671" w:type="pct"/>
            <w:noWrap/>
            <w:vAlign w:val="center"/>
          </w:tcPr>
          <w:p w14:paraId="124C69C3">
            <w:pPr>
              <w:autoSpaceDE w:val="0"/>
              <w:spacing w:line="240" w:lineRule="auto"/>
              <w:jc w:val="center"/>
            </w:pPr>
            <w:r>
              <w:t>52.1</w:t>
            </w:r>
          </w:p>
        </w:tc>
        <w:tc>
          <w:tcPr>
            <w:tcW w:w="671" w:type="pct"/>
            <w:noWrap/>
            <w:vAlign w:val="center"/>
          </w:tcPr>
          <w:p w14:paraId="18821118">
            <w:pPr>
              <w:autoSpaceDE w:val="0"/>
              <w:spacing w:line="240" w:lineRule="auto"/>
              <w:jc w:val="center"/>
            </w:pPr>
            <w:r>
              <w:t xml:space="preserve">57.4 </w:t>
            </w:r>
          </w:p>
        </w:tc>
      </w:tr>
      <w:tr w14:paraId="21864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25" w:type="pct"/>
            <w:vMerge w:val="continue"/>
            <w:vAlign w:val="center"/>
          </w:tcPr>
          <w:p w14:paraId="5058B4CC">
            <w:pPr>
              <w:spacing w:line="240" w:lineRule="auto"/>
              <w:jc w:val="left"/>
              <w:rPr>
                <w:sz w:val="21"/>
                <w:szCs w:val="21"/>
              </w:rPr>
            </w:pPr>
          </w:p>
        </w:tc>
        <w:tc>
          <w:tcPr>
            <w:tcW w:w="1281" w:type="pct"/>
            <w:vMerge w:val="continue"/>
            <w:vAlign w:val="center"/>
          </w:tcPr>
          <w:p w14:paraId="761CE992">
            <w:pPr>
              <w:spacing w:line="240" w:lineRule="auto"/>
              <w:jc w:val="left"/>
              <w:rPr>
                <w:sz w:val="21"/>
                <w:szCs w:val="21"/>
              </w:rPr>
            </w:pPr>
          </w:p>
        </w:tc>
        <w:tc>
          <w:tcPr>
            <w:tcW w:w="1282" w:type="pct"/>
            <w:noWrap/>
            <w:vAlign w:val="center"/>
          </w:tcPr>
          <w:p w14:paraId="4E3982B8">
            <w:pPr>
              <w:autoSpaceDE w:val="0"/>
              <w:spacing w:line="240" w:lineRule="auto"/>
              <w:jc w:val="center"/>
            </w:pPr>
            <w:r>
              <w:t>Ⅱ</w:t>
            </w:r>
            <w:r>
              <w:rPr>
                <w:rFonts w:hint="eastAsia" w:cs="宋体"/>
              </w:rPr>
              <w:t>级粉煤灰</w:t>
            </w:r>
          </w:p>
        </w:tc>
        <w:tc>
          <w:tcPr>
            <w:tcW w:w="671" w:type="pct"/>
            <w:noWrap/>
            <w:vAlign w:val="center"/>
          </w:tcPr>
          <w:p w14:paraId="0F58B047">
            <w:pPr>
              <w:autoSpaceDE w:val="0"/>
              <w:spacing w:line="240" w:lineRule="auto"/>
              <w:jc w:val="center"/>
            </w:pPr>
            <w:r>
              <w:t>40.8</w:t>
            </w:r>
          </w:p>
        </w:tc>
        <w:tc>
          <w:tcPr>
            <w:tcW w:w="671" w:type="pct"/>
            <w:noWrap/>
            <w:vAlign w:val="center"/>
          </w:tcPr>
          <w:p w14:paraId="586F48B1">
            <w:pPr>
              <w:autoSpaceDE w:val="0"/>
              <w:spacing w:line="240" w:lineRule="auto"/>
              <w:jc w:val="center"/>
            </w:pPr>
            <w:r>
              <w:t>56.0</w:t>
            </w:r>
          </w:p>
        </w:tc>
        <w:tc>
          <w:tcPr>
            <w:tcW w:w="671" w:type="pct"/>
            <w:noWrap/>
            <w:vAlign w:val="center"/>
          </w:tcPr>
          <w:p w14:paraId="40449148">
            <w:pPr>
              <w:autoSpaceDE w:val="0"/>
              <w:spacing w:line="240" w:lineRule="auto"/>
              <w:jc w:val="center"/>
            </w:pPr>
            <w:r>
              <w:t xml:space="preserve">65.5 </w:t>
            </w:r>
          </w:p>
        </w:tc>
      </w:tr>
      <w:tr w14:paraId="78CC4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25" w:type="pct"/>
            <w:vMerge w:val="continue"/>
            <w:vAlign w:val="center"/>
          </w:tcPr>
          <w:p w14:paraId="38907BCD">
            <w:pPr>
              <w:spacing w:line="240" w:lineRule="auto"/>
              <w:jc w:val="left"/>
              <w:rPr>
                <w:sz w:val="21"/>
                <w:szCs w:val="21"/>
              </w:rPr>
            </w:pPr>
          </w:p>
        </w:tc>
        <w:tc>
          <w:tcPr>
            <w:tcW w:w="1281" w:type="pct"/>
            <w:vMerge w:val="continue"/>
            <w:vAlign w:val="center"/>
          </w:tcPr>
          <w:p w14:paraId="19EA3D0B">
            <w:pPr>
              <w:spacing w:line="240" w:lineRule="auto"/>
              <w:jc w:val="left"/>
              <w:rPr>
                <w:sz w:val="21"/>
                <w:szCs w:val="21"/>
              </w:rPr>
            </w:pPr>
          </w:p>
        </w:tc>
        <w:tc>
          <w:tcPr>
            <w:tcW w:w="1282" w:type="pct"/>
            <w:noWrap/>
            <w:vAlign w:val="center"/>
          </w:tcPr>
          <w:p w14:paraId="4A34931B">
            <w:pPr>
              <w:autoSpaceDE w:val="0"/>
              <w:spacing w:line="240" w:lineRule="auto"/>
              <w:jc w:val="center"/>
            </w:pPr>
            <w:r>
              <w:rPr>
                <w:rFonts w:hint="eastAsia" w:cs="宋体"/>
              </w:rPr>
              <w:t>物理改性粉煤灰</w:t>
            </w:r>
          </w:p>
        </w:tc>
        <w:tc>
          <w:tcPr>
            <w:tcW w:w="671" w:type="pct"/>
            <w:noWrap/>
            <w:vAlign w:val="center"/>
          </w:tcPr>
          <w:p w14:paraId="5DFC50EB">
            <w:pPr>
              <w:autoSpaceDE w:val="0"/>
              <w:spacing w:line="240" w:lineRule="auto"/>
              <w:jc w:val="center"/>
            </w:pPr>
            <w:r>
              <w:t>48.3</w:t>
            </w:r>
          </w:p>
        </w:tc>
        <w:tc>
          <w:tcPr>
            <w:tcW w:w="671" w:type="pct"/>
            <w:noWrap/>
            <w:vAlign w:val="center"/>
          </w:tcPr>
          <w:p w14:paraId="33B9269B">
            <w:pPr>
              <w:autoSpaceDE w:val="0"/>
              <w:spacing w:line="240" w:lineRule="auto"/>
              <w:jc w:val="center"/>
            </w:pPr>
            <w:r>
              <w:t>60.7</w:t>
            </w:r>
          </w:p>
        </w:tc>
        <w:tc>
          <w:tcPr>
            <w:tcW w:w="671" w:type="pct"/>
            <w:noWrap/>
            <w:vAlign w:val="center"/>
          </w:tcPr>
          <w:p w14:paraId="610ADCFA">
            <w:pPr>
              <w:autoSpaceDE w:val="0"/>
              <w:spacing w:line="240" w:lineRule="auto"/>
              <w:jc w:val="center"/>
            </w:pPr>
            <w:r>
              <w:t xml:space="preserve">70.4 </w:t>
            </w:r>
          </w:p>
        </w:tc>
      </w:tr>
      <w:tr w14:paraId="4CDF1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25" w:type="pct"/>
            <w:vMerge w:val="restart"/>
            <w:noWrap/>
            <w:vAlign w:val="center"/>
          </w:tcPr>
          <w:p w14:paraId="4FB5A041">
            <w:pPr>
              <w:autoSpaceDE w:val="0"/>
              <w:spacing w:line="240" w:lineRule="auto"/>
              <w:jc w:val="center"/>
            </w:pPr>
            <w:r>
              <w:t>3</w:t>
            </w:r>
          </w:p>
        </w:tc>
        <w:tc>
          <w:tcPr>
            <w:tcW w:w="1281" w:type="pct"/>
            <w:vMerge w:val="restart"/>
            <w:noWrap/>
            <w:vAlign w:val="center"/>
          </w:tcPr>
          <w:p w14:paraId="05D1B85B">
            <w:pPr>
              <w:autoSpaceDE w:val="0"/>
              <w:spacing w:line="240" w:lineRule="auto"/>
              <w:jc w:val="center"/>
            </w:pPr>
            <w:r>
              <w:t>30</w:t>
            </w:r>
          </w:p>
        </w:tc>
        <w:tc>
          <w:tcPr>
            <w:tcW w:w="1282" w:type="pct"/>
            <w:noWrap/>
            <w:vAlign w:val="center"/>
          </w:tcPr>
          <w:p w14:paraId="599A2D42">
            <w:pPr>
              <w:autoSpaceDE w:val="0"/>
              <w:spacing w:line="240" w:lineRule="auto"/>
              <w:jc w:val="center"/>
            </w:pPr>
            <w:r>
              <w:rPr>
                <w:rFonts w:hint="eastAsia" w:cs="宋体"/>
              </w:rPr>
              <w:t>原灰</w:t>
            </w:r>
          </w:p>
        </w:tc>
        <w:tc>
          <w:tcPr>
            <w:tcW w:w="671" w:type="pct"/>
            <w:noWrap/>
            <w:vAlign w:val="center"/>
          </w:tcPr>
          <w:p w14:paraId="0AC731A5">
            <w:pPr>
              <w:autoSpaceDE w:val="0"/>
              <w:spacing w:line="240" w:lineRule="auto"/>
              <w:jc w:val="center"/>
            </w:pPr>
            <w:r>
              <w:t>39.2</w:t>
            </w:r>
          </w:p>
        </w:tc>
        <w:tc>
          <w:tcPr>
            <w:tcW w:w="671" w:type="pct"/>
            <w:noWrap/>
            <w:vAlign w:val="center"/>
          </w:tcPr>
          <w:p w14:paraId="16C8334D">
            <w:pPr>
              <w:autoSpaceDE w:val="0"/>
              <w:spacing w:line="240" w:lineRule="auto"/>
              <w:jc w:val="center"/>
            </w:pPr>
            <w:r>
              <w:t>49.1</w:t>
            </w:r>
          </w:p>
        </w:tc>
        <w:tc>
          <w:tcPr>
            <w:tcW w:w="671" w:type="pct"/>
            <w:noWrap/>
            <w:vAlign w:val="center"/>
          </w:tcPr>
          <w:p w14:paraId="1964D8D5">
            <w:pPr>
              <w:autoSpaceDE w:val="0"/>
              <w:spacing w:line="240" w:lineRule="auto"/>
              <w:jc w:val="center"/>
            </w:pPr>
            <w:r>
              <w:t xml:space="preserve">56.0 </w:t>
            </w:r>
          </w:p>
        </w:tc>
      </w:tr>
      <w:tr w14:paraId="09938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25" w:type="pct"/>
            <w:vMerge w:val="continue"/>
            <w:vAlign w:val="center"/>
          </w:tcPr>
          <w:p w14:paraId="2699346E">
            <w:pPr>
              <w:spacing w:line="240" w:lineRule="auto"/>
              <w:jc w:val="left"/>
              <w:rPr>
                <w:sz w:val="21"/>
                <w:szCs w:val="21"/>
              </w:rPr>
            </w:pPr>
          </w:p>
        </w:tc>
        <w:tc>
          <w:tcPr>
            <w:tcW w:w="1281" w:type="pct"/>
            <w:vMerge w:val="continue"/>
            <w:vAlign w:val="center"/>
          </w:tcPr>
          <w:p w14:paraId="5E7D20FF">
            <w:pPr>
              <w:spacing w:line="240" w:lineRule="auto"/>
              <w:jc w:val="left"/>
              <w:rPr>
                <w:sz w:val="21"/>
                <w:szCs w:val="21"/>
              </w:rPr>
            </w:pPr>
          </w:p>
        </w:tc>
        <w:tc>
          <w:tcPr>
            <w:tcW w:w="1282" w:type="pct"/>
            <w:noWrap/>
            <w:vAlign w:val="center"/>
          </w:tcPr>
          <w:p w14:paraId="0167C9F5">
            <w:pPr>
              <w:autoSpaceDE w:val="0"/>
              <w:spacing w:line="240" w:lineRule="auto"/>
              <w:jc w:val="center"/>
            </w:pPr>
            <w:r>
              <w:t>Ⅱ</w:t>
            </w:r>
            <w:r>
              <w:rPr>
                <w:rFonts w:hint="eastAsia" w:cs="宋体"/>
              </w:rPr>
              <w:t>级粉煤灰</w:t>
            </w:r>
          </w:p>
        </w:tc>
        <w:tc>
          <w:tcPr>
            <w:tcW w:w="671" w:type="pct"/>
            <w:noWrap/>
            <w:vAlign w:val="center"/>
          </w:tcPr>
          <w:p w14:paraId="05BB5E06">
            <w:pPr>
              <w:autoSpaceDE w:val="0"/>
              <w:spacing w:line="240" w:lineRule="auto"/>
              <w:jc w:val="center"/>
            </w:pPr>
            <w:r>
              <w:t>33.9</w:t>
            </w:r>
          </w:p>
        </w:tc>
        <w:tc>
          <w:tcPr>
            <w:tcW w:w="671" w:type="pct"/>
            <w:noWrap/>
            <w:vAlign w:val="center"/>
          </w:tcPr>
          <w:p w14:paraId="0012D17E">
            <w:pPr>
              <w:autoSpaceDE w:val="0"/>
              <w:spacing w:line="240" w:lineRule="auto"/>
              <w:jc w:val="center"/>
            </w:pPr>
            <w:r>
              <w:t>53.1</w:t>
            </w:r>
          </w:p>
        </w:tc>
        <w:tc>
          <w:tcPr>
            <w:tcW w:w="671" w:type="pct"/>
            <w:noWrap/>
            <w:vAlign w:val="center"/>
          </w:tcPr>
          <w:p w14:paraId="6CFB8E6B">
            <w:pPr>
              <w:autoSpaceDE w:val="0"/>
              <w:spacing w:line="240" w:lineRule="auto"/>
              <w:jc w:val="center"/>
            </w:pPr>
            <w:r>
              <w:t xml:space="preserve">63.9 </w:t>
            </w:r>
          </w:p>
        </w:tc>
      </w:tr>
      <w:tr w14:paraId="09661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25" w:type="pct"/>
            <w:vMerge w:val="continue"/>
            <w:vAlign w:val="center"/>
          </w:tcPr>
          <w:p w14:paraId="7D04EF87">
            <w:pPr>
              <w:spacing w:line="240" w:lineRule="auto"/>
              <w:jc w:val="left"/>
              <w:rPr>
                <w:sz w:val="21"/>
                <w:szCs w:val="21"/>
              </w:rPr>
            </w:pPr>
          </w:p>
        </w:tc>
        <w:tc>
          <w:tcPr>
            <w:tcW w:w="1281" w:type="pct"/>
            <w:vMerge w:val="continue"/>
            <w:vAlign w:val="center"/>
          </w:tcPr>
          <w:p w14:paraId="416600FC">
            <w:pPr>
              <w:spacing w:line="240" w:lineRule="auto"/>
              <w:jc w:val="left"/>
              <w:rPr>
                <w:sz w:val="21"/>
                <w:szCs w:val="21"/>
              </w:rPr>
            </w:pPr>
          </w:p>
        </w:tc>
        <w:tc>
          <w:tcPr>
            <w:tcW w:w="1282" w:type="pct"/>
            <w:noWrap/>
            <w:vAlign w:val="center"/>
          </w:tcPr>
          <w:p w14:paraId="01408F9A">
            <w:pPr>
              <w:autoSpaceDE w:val="0"/>
              <w:spacing w:line="240" w:lineRule="auto"/>
              <w:jc w:val="center"/>
            </w:pPr>
            <w:r>
              <w:rPr>
                <w:rFonts w:hint="eastAsia" w:cs="宋体"/>
              </w:rPr>
              <w:t>物理改性粉煤灰</w:t>
            </w:r>
          </w:p>
        </w:tc>
        <w:tc>
          <w:tcPr>
            <w:tcW w:w="671" w:type="pct"/>
            <w:noWrap/>
            <w:vAlign w:val="center"/>
          </w:tcPr>
          <w:p w14:paraId="24D1C86F">
            <w:pPr>
              <w:autoSpaceDE w:val="0"/>
              <w:spacing w:line="240" w:lineRule="auto"/>
              <w:jc w:val="center"/>
            </w:pPr>
            <w:r>
              <w:t>48.2</w:t>
            </w:r>
          </w:p>
        </w:tc>
        <w:tc>
          <w:tcPr>
            <w:tcW w:w="671" w:type="pct"/>
            <w:noWrap/>
            <w:vAlign w:val="center"/>
          </w:tcPr>
          <w:p w14:paraId="1F031ABA">
            <w:pPr>
              <w:autoSpaceDE w:val="0"/>
              <w:spacing w:line="240" w:lineRule="auto"/>
              <w:jc w:val="center"/>
            </w:pPr>
            <w:r>
              <w:t>58.1</w:t>
            </w:r>
          </w:p>
        </w:tc>
        <w:tc>
          <w:tcPr>
            <w:tcW w:w="671" w:type="pct"/>
            <w:noWrap/>
            <w:vAlign w:val="center"/>
          </w:tcPr>
          <w:p w14:paraId="55250CBA">
            <w:pPr>
              <w:autoSpaceDE w:val="0"/>
              <w:spacing w:line="240" w:lineRule="auto"/>
              <w:jc w:val="center"/>
            </w:pPr>
            <w:r>
              <w:t xml:space="preserve">69.7 </w:t>
            </w:r>
          </w:p>
        </w:tc>
      </w:tr>
      <w:tr w14:paraId="6A7D7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25" w:type="pct"/>
            <w:vMerge w:val="restart"/>
            <w:noWrap/>
            <w:vAlign w:val="center"/>
          </w:tcPr>
          <w:p w14:paraId="2BC4C521">
            <w:pPr>
              <w:autoSpaceDE w:val="0"/>
              <w:spacing w:line="240" w:lineRule="auto"/>
              <w:jc w:val="center"/>
            </w:pPr>
            <w:r>
              <w:t>4</w:t>
            </w:r>
          </w:p>
        </w:tc>
        <w:tc>
          <w:tcPr>
            <w:tcW w:w="1281" w:type="pct"/>
            <w:vMerge w:val="restart"/>
            <w:noWrap/>
            <w:vAlign w:val="center"/>
          </w:tcPr>
          <w:p w14:paraId="36CB418E">
            <w:pPr>
              <w:autoSpaceDE w:val="0"/>
              <w:spacing w:line="240" w:lineRule="auto"/>
              <w:jc w:val="center"/>
            </w:pPr>
            <w:r>
              <w:t>40</w:t>
            </w:r>
          </w:p>
        </w:tc>
        <w:tc>
          <w:tcPr>
            <w:tcW w:w="1282" w:type="pct"/>
            <w:noWrap/>
            <w:vAlign w:val="center"/>
          </w:tcPr>
          <w:p w14:paraId="2E9EB1C3">
            <w:pPr>
              <w:autoSpaceDE w:val="0"/>
              <w:spacing w:line="240" w:lineRule="auto"/>
              <w:jc w:val="center"/>
            </w:pPr>
            <w:r>
              <w:rPr>
                <w:rFonts w:hint="eastAsia" w:cs="宋体"/>
              </w:rPr>
              <w:t>原灰</w:t>
            </w:r>
          </w:p>
        </w:tc>
        <w:tc>
          <w:tcPr>
            <w:tcW w:w="671" w:type="pct"/>
            <w:noWrap/>
            <w:vAlign w:val="center"/>
          </w:tcPr>
          <w:p w14:paraId="19166321">
            <w:pPr>
              <w:autoSpaceDE w:val="0"/>
              <w:spacing w:line="240" w:lineRule="auto"/>
              <w:jc w:val="center"/>
            </w:pPr>
            <w:r>
              <w:t>34.3</w:t>
            </w:r>
          </w:p>
        </w:tc>
        <w:tc>
          <w:tcPr>
            <w:tcW w:w="671" w:type="pct"/>
            <w:noWrap/>
            <w:vAlign w:val="center"/>
          </w:tcPr>
          <w:p w14:paraId="0AE5A1F0">
            <w:pPr>
              <w:autoSpaceDE w:val="0"/>
              <w:spacing w:line="240" w:lineRule="auto"/>
              <w:jc w:val="center"/>
            </w:pPr>
            <w:r>
              <w:t>47.2</w:t>
            </w:r>
          </w:p>
        </w:tc>
        <w:tc>
          <w:tcPr>
            <w:tcW w:w="671" w:type="pct"/>
            <w:noWrap/>
            <w:vAlign w:val="center"/>
          </w:tcPr>
          <w:p w14:paraId="26822977">
            <w:pPr>
              <w:autoSpaceDE w:val="0"/>
              <w:spacing w:line="240" w:lineRule="auto"/>
              <w:jc w:val="center"/>
            </w:pPr>
            <w:r>
              <w:t xml:space="preserve">54.2 </w:t>
            </w:r>
          </w:p>
        </w:tc>
      </w:tr>
      <w:tr w14:paraId="202CC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25" w:type="pct"/>
            <w:vMerge w:val="continue"/>
            <w:vAlign w:val="center"/>
          </w:tcPr>
          <w:p w14:paraId="69BE20B9">
            <w:pPr>
              <w:spacing w:line="240" w:lineRule="auto"/>
              <w:jc w:val="left"/>
              <w:rPr>
                <w:sz w:val="21"/>
                <w:szCs w:val="21"/>
              </w:rPr>
            </w:pPr>
          </w:p>
        </w:tc>
        <w:tc>
          <w:tcPr>
            <w:tcW w:w="1281" w:type="pct"/>
            <w:vMerge w:val="continue"/>
            <w:vAlign w:val="center"/>
          </w:tcPr>
          <w:p w14:paraId="3DFA56CA">
            <w:pPr>
              <w:spacing w:line="240" w:lineRule="auto"/>
              <w:jc w:val="left"/>
              <w:rPr>
                <w:sz w:val="21"/>
                <w:szCs w:val="21"/>
              </w:rPr>
            </w:pPr>
          </w:p>
        </w:tc>
        <w:tc>
          <w:tcPr>
            <w:tcW w:w="1282" w:type="pct"/>
            <w:noWrap/>
            <w:vAlign w:val="center"/>
          </w:tcPr>
          <w:p w14:paraId="47E04758">
            <w:pPr>
              <w:autoSpaceDE w:val="0"/>
              <w:spacing w:line="240" w:lineRule="auto"/>
              <w:jc w:val="center"/>
            </w:pPr>
            <w:r>
              <w:t>Ⅱ</w:t>
            </w:r>
            <w:r>
              <w:rPr>
                <w:rFonts w:hint="eastAsia" w:cs="宋体"/>
              </w:rPr>
              <w:t>级粉煤灰</w:t>
            </w:r>
          </w:p>
        </w:tc>
        <w:tc>
          <w:tcPr>
            <w:tcW w:w="671" w:type="pct"/>
            <w:noWrap/>
            <w:vAlign w:val="center"/>
          </w:tcPr>
          <w:p w14:paraId="021DCB25">
            <w:pPr>
              <w:autoSpaceDE w:val="0"/>
              <w:spacing w:line="240" w:lineRule="auto"/>
              <w:jc w:val="center"/>
            </w:pPr>
            <w:r>
              <w:t>32.9</w:t>
            </w:r>
          </w:p>
        </w:tc>
        <w:tc>
          <w:tcPr>
            <w:tcW w:w="671" w:type="pct"/>
            <w:noWrap/>
            <w:vAlign w:val="center"/>
          </w:tcPr>
          <w:p w14:paraId="4C070B8E">
            <w:pPr>
              <w:autoSpaceDE w:val="0"/>
              <w:spacing w:line="240" w:lineRule="auto"/>
              <w:jc w:val="center"/>
            </w:pPr>
            <w:r>
              <w:t>52.1</w:t>
            </w:r>
          </w:p>
        </w:tc>
        <w:tc>
          <w:tcPr>
            <w:tcW w:w="671" w:type="pct"/>
            <w:noWrap/>
            <w:vAlign w:val="center"/>
          </w:tcPr>
          <w:p w14:paraId="45531A82">
            <w:pPr>
              <w:autoSpaceDE w:val="0"/>
              <w:spacing w:line="240" w:lineRule="auto"/>
              <w:jc w:val="center"/>
            </w:pPr>
            <w:r>
              <w:t xml:space="preserve">61.2 </w:t>
            </w:r>
          </w:p>
        </w:tc>
      </w:tr>
      <w:tr w14:paraId="22B49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25" w:type="pct"/>
            <w:vMerge w:val="continue"/>
            <w:vAlign w:val="center"/>
          </w:tcPr>
          <w:p w14:paraId="71144663">
            <w:pPr>
              <w:spacing w:line="240" w:lineRule="auto"/>
              <w:jc w:val="left"/>
              <w:rPr>
                <w:sz w:val="21"/>
                <w:szCs w:val="21"/>
              </w:rPr>
            </w:pPr>
          </w:p>
        </w:tc>
        <w:tc>
          <w:tcPr>
            <w:tcW w:w="1281" w:type="pct"/>
            <w:vMerge w:val="continue"/>
            <w:vAlign w:val="center"/>
          </w:tcPr>
          <w:p w14:paraId="31DD4225">
            <w:pPr>
              <w:spacing w:line="240" w:lineRule="auto"/>
              <w:jc w:val="left"/>
              <w:rPr>
                <w:sz w:val="21"/>
                <w:szCs w:val="21"/>
              </w:rPr>
            </w:pPr>
          </w:p>
        </w:tc>
        <w:tc>
          <w:tcPr>
            <w:tcW w:w="1282" w:type="pct"/>
            <w:noWrap/>
            <w:vAlign w:val="center"/>
          </w:tcPr>
          <w:p w14:paraId="103F5ACA">
            <w:pPr>
              <w:autoSpaceDE w:val="0"/>
              <w:spacing w:line="240" w:lineRule="auto"/>
              <w:jc w:val="center"/>
            </w:pPr>
            <w:r>
              <w:rPr>
                <w:rFonts w:hint="eastAsia" w:cs="宋体"/>
              </w:rPr>
              <w:t>物理改性粉煤灰</w:t>
            </w:r>
          </w:p>
        </w:tc>
        <w:tc>
          <w:tcPr>
            <w:tcW w:w="671" w:type="pct"/>
            <w:noWrap/>
            <w:vAlign w:val="center"/>
          </w:tcPr>
          <w:p w14:paraId="698AA696">
            <w:pPr>
              <w:autoSpaceDE w:val="0"/>
              <w:spacing w:line="240" w:lineRule="auto"/>
              <w:jc w:val="center"/>
            </w:pPr>
            <w:r>
              <w:t>38.7</w:t>
            </w:r>
          </w:p>
        </w:tc>
        <w:tc>
          <w:tcPr>
            <w:tcW w:w="671" w:type="pct"/>
            <w:noWrap/>
            <w:vAlign w:val="center"/>
          </w:tcPr>
          <w:p w14:paraId="0725B2F8">
            <w:pPr>
              <w:autoSpaceDE w:val="0"/>
              <w:spacing w:line="240" w:lineRule="auto"/>
              <w:jc w:val="center"/>
            </w:pPr>
            <w:r>
              <w:t>56.7</w:t>
            </w:r>
          </w:p>
        </w:tc>
        <w:tc>
          <w:tcPr>
            <w:tcW w:w="671" w:type="pct"/>
            <w:noWrap/>
            <w:vAlign w:val="center"/>
          </w:tcPr>
          <w:p w14:paraId="4C4F8BD7">
            <w:pPr>
              <w:autoSpaceDE w:val="0"/>
              <w:spacing w:line="240" w:lineRule="auto"/>
              <w:jc w:val="center"/>
            </w:pPr>
            <w:r>
              <w:t xml:space="preserve">65.3 </w:t>
            </w:r>
          </w:p>
        </w:tc>
      </w:tr>
      <w:tr w14:paraId="42E36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25" w:type="pct"/>
            <w:vMerge w:val="restart"/>
            <w:noWrap/>
            <w:vAlign w:val="center"/>
          </w:tcPr>
          <w:p w14:paraId="04F85C47">
            <w:pPr>
              <w:autoSpaceDE w:val="0"/>
              <w:spacing w:line="240" w:lineRule="auto"/>
              <w:jc w:val="center"/>
            </w:pPr>
            <w:r>
              <w:t>5</w:t>
            </w:r>
          </w:p>
        </w:tc>
        <w:tc>
          <w:tcPr>
            <w:tcW w:w="1281" w:type="pct"/>
            <w:vMerge w:val="restart"/>
            <w:noWrap/>
            <w:vAlign w:val="center"/>
          </w:tcPr>
          <w:p w14:paraId="46F8CD02">
            <w:pPr>
              <w:autoSpaceDE w:val="0"/>
              <w:spacing w:line="240" w:lineRule="auto"/>
              <w:jc w:val="center"/>
            </w:pPr>
            <w:r>
              <w:t>50</w:t>
            </w:r>
          </w:p>
        </w:tc>
        <w:tc>
          <w:tcPr>
            <w:tcW w:w="1282" w:type="pct"/>
            <w:noWrap/>
            <w:vAlign w:val="center"/>
          </w:tcPr>
          <w:p w14:paraId="51DDAEED">
            <w:pPr>
              <w:autoSpaceDE w:val="0"/>
              <w:spacing w:line="240" w:lineRule="auto"/>
              <w:jc w:val="center"/>
            </w:pPr>
            <w:r>
              <w:rPr>
                <w:rFonts w:hint="eastAsia" w:cs="宋体"/>
              </w:rPr>
              <w:t>原灰</w:t>
            </w:r>
          </w:p>
        </w:tc>
        <w:tc>
          <w:tcPr>
            <w:tcW w:w="671" w:type="pct"/>
            <w:noWrap/>
            <w:vAlign w:val="center"/>
          </w:tcPr>
          <w:p w14:paraId="408C94D6">
            <w:pPr>
              <w:autoSpaceDE w:val="0"/>
              <w:spacing w:line="240" w:lineRule="auto"/>
              <w:jc w:val="center"/>
            </w:pPr>
            <w:r>
              <w:t>29.4</w:t>
            </w:r>
          </w:p>
        </w:tc>
        <w:tc>
          <w:tcPr>
            <w:tcW w:w="671" w:type="pct"/>
            <w:noWrap/>
            <w:vAlign w:val="center"/>
          </w:tcPr>
          <w:p w14:paraId="6C36AE4E">
            <w:pPr>
              <w:autoSpaceDE w:val="0"/>
              <w:spacing w:line="240" w:lineRule="auto"/>
              <w:jc w:val="center"/>
            </w:pPr>
            <w:r>
              <w:t>42.3</w:t>
            </w:r>
          </w:p>
        </w:tc>
        <w:tc>
          <w:tcPr>
            <w:tcW w:w="671" w:type="pct"/>
            <w:noWrap/>
            <w:vAlign w:val="center"/>
          </w:tcPr>
          <w:p w14:paraId="08C9DB01">
            <w:pPr>
              <w:autoSpaceDE w:val="0"/>
              <w:spacing w:line="240" w:lineRule="auto"/>
              <w:jc w:val="center"/>
            </w:pPr>
            <w:r>
              <w:t xml:space="preserve">45.0 </w:t>
            </w:r>
          </w:p>
        </w:tc>
      </w:tr>
      <w:tr w14:paraId="4EB0A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25" w:type="pct"/>
            <w:vMerge w:val="continue"/>
            <w:vAlign w:val="center"/>
          </w:tcPr>
          <w:p w14:paraId="282B9DF0">
            <w:pPr>
              <w:spacing w:line="240" w:lineRule="auto"/>
              <w:jc w:val="left"/>
              <w:rPr>
                <w:sz w:val="21"/>
                <w:szCs w:val="21"/>
              </w:rPr>
            </w:pPr>
          </w:p>
        </w:tc>
        <w:tc>
          <w:tcPr>
            <w:tcW w:w="1281" w:type="pct"/>
            <w:vMerge w:val="continue"/>
            <w:vAlign w:val="center"/>
          </w:tcPr>
          <w:p w14:paraId="2C56B6F6">
            <w:pPr>
              <w:spacing w:line="240" w:lineRule="auto"/>
              <w:jc w:val="left"/>
              <w:rPr>
                <w:sz w:val="21"/>
                <w:szCs w:val="21"/>
              </w:rPr>
            </w:pPr>
          </w:p>
        </w:tc>
        <w:tc>
          <w:tcPr>
            <w:tcW w:w="1282" w:type="pct"/>
            <w:noWrap/>
            <w:vAlign w:val="center"/>
          </w:tcPr>
          <w:p w14:paraId="15B5CCBE">
            <w:pPr>
              <w:autoSpaceDE w:val="0"/>
              <w:spacing w:line="240" w:lineRule="auto"/>
              <w:jc w:val="center"/>
            </w:pPr>
            <w:r>
              <w:t>Ⅱ</w:t>
            </w:r>
            <w:r>
              <w:rPr>
                <w:rFonts w:hint="eastAsia" w:cs="宋体"/>
              </w:rPr>
              <w:t>级粉煤灰</w:t>
            </w:r>
          </w:p>
        </w:tc>
        <w:tc>
          <w:tcPr>
            <w:tcW w:w="671" w:type="pct"/>
            <w:noWrap/>
            <w:vAlign w:val="center"/>
          </w:tcPr>
          <w:p w14:paraId="7A7C5289">
            <w:pPr>
              <w:autoSpaceDE w:val="0"/>
              <w:spacing w:line="240" w:lineRule="auto"/>
              <w:jc w:val="center"/>
            </w:pPr>
            <w:r>
              <w:t>27.4</w:t>
            </w:r>
          </w:p>
        </w:tc>
        <w:tc>
          <w:tcPr>
            <w:tcW w:w="671" w:type="pct"/>
            <w:noWrap/>
            <w:vAlign w:val="center"/>
          </w:tcPr>
          <w:p w14:paraId="0E7756D8">
            <w:pPr>
              <w:autoSpaceDE w:val="0"/>
              <w:spacing w:line="240" w:lineRule="auto"/>
              <w:jc w:val="center"/>
            </w:pPr>
            <w:r>
              <w:t>44.2</w:t>
            </w:r>
          </w:p>
        </w:tc>
        <w:tc>
          <w:tcPr>
            <w:tcW w:w="671" w:type="pct"/>
            <w:noWrap/>
            <w:vAlign w:val="center"/>
          </w:tcPr>
          <w:p w14:paraId="134B66BA">
            <w:pPr>
              <w:autoSpaceDE w:val="0"/>
              <w:spacing w:line="240" w:lineRule="auto"/>
              <w:jc w:val="center"/>
            </w:pPr>
            <w:r>
              <w:t xml:space="preserve">50.6 </w:t>
            </w:r>
          </w:p>
        </w:tc>
      </w:tr>
      <w:tr w14:paraId="234F1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25" w:type="pct"/>
            <w:vMerge w:val="continue"/>
            <w:vAlign w:val="center"/>
          </w:tcPr>
          <w:p w14:paraId="6927BAA4">
            <w:pPr>
              <w:spacing w:line="240" w:lineRule="auto"/>
              <w:jc w:val="left"/>
              <w:rPr>
                <w:sz w:val="21"/>
                <w:szCs w:val="21"/>
              </w:rPr>
            </w:pPr>
          </w:p>
        </w:tc>
        <w:tc>
          <w:tcPr>
            <w:tcW w:w="1281" w:type="pct"/>
            <w:vMerge w:val="continue"/>
            <w:vAlign w:val="center"/>
          </w:tcPr>
          <w:p w14:paraId="343018F8">
            <w:pPr>
              <w:spacing w:line="240" w:lineRule="auto"/>
              <w:jc w:val="left"/>
              <w:rPr>
                <w:sz w:val="21"/>
                <w:szCs w:val="21"/>
              </w:rPr>
            </w:pPr>
          </w:p>
        </w:tc>
        <w:tc>
          <w:tcPr>
            <w:tcW w:w="1282" w:type="pct"/>
            <w:noWrap/>
            <w:vAlign w:val="center"/>
          </w:tcPr>
          <w:p w14:paraId="343AB172">
            <w:pPr>
              <w:autoSpaceDE w:val="0"/>
              <w:spacing w:line="240" w:lineRule="auto"/>
              <w:jc w:val="center"/>
            </w:pPr>
            <w:r>
              <w:rPr>
                <w:rFonts w:hint="eastAsia" w:cs="宋体"/>
              </w:rPr>
              <w:t>物理改性粉煤灰</w:t>
            </w:r>
          </w:p>
        </w:tc>
        <w:tc>
          <w:tcPr>
            <w:tcW w:w="671" w:type="pct"/>
            <w:noWrap/>
            <w:vAlign w:val="center"/>
          </w:tcPr>
          <w:p w14:paraId="4AB6239A">
            <w:pPr>
              <w:autoSpaceDE w:val="0"/>
              <w:spacing w:line="240" w:lineRule="auto"/>
              <w:jc w:val="center"/>
            </w:pPr>
            <w:r>
              <w:t>32.2</w:t>
            </w:r>
          </w:p>
        </w:tc>
        <w:tc>
          <w:tcPr>
            <w:tcW w:w="671" w:type="pct"/>
            <w:noWrap/>
            <w:vAlign w:val="center"/>
          </w:tcPr>
          <w:p w14:paraId="4880A5D5">
            <w:pPr>
              <w:autoSpaceDE w:val="0"/>
              <w:spacing w:line="240" w:lineRule="auto"/>
              <w:jc w:val="center"/>
            </w:pPr>
            <w:r>
              <w:t>51.2</w:t>
            </w:r>
          </w:p>
        </w:tc>
        <w:tc>
          <w:tcPr>
            <w:tcW w:w="671" w:type="pct"/>
            <w:noWrap/>
            <w:vAlign w:val="center"/>
          </w:tcPr>
          <w:p w14:paraId="0A66C2E2">
            <w:pPr>
              <w:autoSpaceDE w:val="0"/>
              <w:spacing w:line="240" w:lineRule="auto"/>
              <w:jc w:val="center"/>
            </w:pPr>
            <w:r>
              <w:t xml:space="preserve">56.8 </w:t>
            </w:r>
          </w:p>
        </w:tc>
      </w:tr>
    </w:tbl>
    <w:p w14:paraId="46137CF6">
      <w:pPr>
        <w:jc w:val="center"/>
      </w:pPr>
      <w:r>
        <w:drawing>
          <wp:inline distT="0" distB="0" distL="0" distR="0">
            <wp:extent cx="3703320" cy="2231390"/>
            <wp:effectExtent l="0" t="0" r="0" b="0"/>
            <wp:docPr id="156560374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603745" name="图片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703569" cy="2232000"/>
                    </a:xfrm>
                    <a:prstGeom prst="rect">
                      <a:avLst/>
                    </a:prstGeom>
                    <a:noFill/>
                    <a:ln>
                      <a:noFill/>
                    </a:ln>
                  </pic:spPr>
                </pic:pic>
              </a:graphicData>
            </a:graphic>
          </wp:inline>
        </w:drawing>
      </w:r>
      <w:r>
        <w:t xml:space="preserve"> </w:t>
      </w:r>
    </w:p>
    <w:p w14:paraId="74ADC7C6">
      <w:pPr>
        <w:jc w:val="center"/>
      </w:pPr>
      <w:r>
        <w:rPr>
          <w:rFonts w:hint="eastAsia"/>
          <w:color w:val="000000"/>
        </w:rPr>
        <w:t>图</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10</w:t>
      </w:r>
      <w:r>
        <w:rPr>
          <w:color w:val="000000"/>
        </w:rPr>
        <w:fldChar w:fldCharType="end"/>
      </w:r>
      <w:r>
        <w:rPr>
          <w:rFonts w:hint="eastAsia"/>
          <w:color w:val="000000"/>
        </w:rPr>
        <w:t xml:space="preserve"> </w:t>
      </w:r>
      <w:r>
        <w:rPr>
          <w:rFonts w:hint="eastAsia" w:cs="宋体"/>
        </w:rPr>
        <w:t>物理改性粉煤灰与</w:t>
      </w:r>
      <w:r>
        <w:t>Ⅱ</w:t>
      </w:r>
      <w:r>
        <w:rPr>
          <w:rFonts w:hint="eastAsia" w:cs="宋体"/>
        </w:rPr>
        <w:t>级粉煤灰对</w:t>
      </w:r>
      <w:r>
        <w:t>C45</w:t>
      </w:r>
      <w:r>
        <w:rPr>
          <w:rFonts w:hint="eastAsia" w:cs="宋体"/>
        </w:rPr>
        <w:t>混凝土强度影响</w:t>
      </w:r>
    </w:p>
    <w:p w14:paraId="2FB32DE5">
      <w:pPr>
        <w:jc w:val="center"/>
      </w:pPr>
      <w:r>
        <w:drawing>
          <wp:inline distT="0" distB="0" distL="0" distR="0">
            <wp:extent cx="3715385" cy="2231390"/>
            <wp:effectExtent l="0" t="0" r="0" b="0"/>
            <wp:docPr id="11392645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264513" name="图片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715536" cy="2232000"/>
                    </a:xfrm>
                    <a:prstGeom prst="rect">
                      <a:avLst/>
                    </a:prstGeom>
                    <a:noFill/>
                    <a:ln>
                      <a:noFill/>
                    </a:ln>
                  </pic:spPr>
                </pic:pic>
              </a:graphicData>
            </a:graphic>
          </wp:inline>
        </w:drawing>
      </w:r>
      <w:r>
        <w:t xml:space="preserve"> </w:t>
      </w:r>
    </w:p>
    <w:p w14:paraId="07F46FE1">
      <w:pPr>
        <w:jc w:val="center"/>
      </w:pPr>
      <w:r>
        <w:rPr>
          <w:rFonts w:hint="eastAsia"/>
          <w:color w:val="000000"/>
        </w:rPr>
        <w:t>图</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11</w:t>
      </w:r>
      <w:r>
        <w:rPr>
          <w:color w:val="000000"/>
        </w:rPr>
        <w:fldChar w:fldCharType="end"/>
      </w:r>
      <w:r>
        <w:rPr>
          <w:rFonts w:hint="eastAsia"/>
          <w:color w:val="000000"/>
        </w:rPr>
        <w:t xml:space="preserve"> </w:t>
      </w:r>
      <w:r>
        <w:rPr>
          <w:rFonts w:hint="eastAsia" w:cs="宋体"/>
        </w:rPr>
        <w:t>物理改性粉煤灰与原灰对</w:t>
      </w:r>
      <w:r>
        <w:t>C45</w:t>
      </w:r>
      <w:r>
        <w:rPr>
          <w:rFonts w:hint="eastAsia" w:cs="宋体"/>
        </w:rPr>
        <w:t>混凝土强度影响</w:t>
      </w:r>
    </w:p>
    <w:p w14:paraId="4774BB5E">
      <w:pPr>
        <w:ind w:firstLine="480" w:firstLineChars="200"/>
      </w:pPr>
      <w:r>
        <w:rPr>
          <w:rFonts w:hint="eastAsia" w:cs="宋体"/>
        </w:rPr>
        <w:t>对于</w:t>
      </w:r>
      <w:r>
        <w:t>C45</w:t>
      </w:r>
      <w:r>
        <w:rPr>
          <w:rFonts w:hint="eastAsia" w:cs="宋体"/>
        </w:rPr>
        <w:t>混凝土，相较</w:t>
      </w:r>
      <w:r>
        <w:t>Ⅱ</w:t>
      </w:r>
      <w:r>
        <w:rPr>
          <w:rFonts w:hint="eastAsia" w:cs="宋体"/>
        </w:rPr>
        <w:t>级粉煤灰，掺入</w:t>
      </w:r>
      <w:r>
        <w:t>10%</w:t>
      </w:r>
      <w:r>
        <w:rPr>
          <w:rFonts w:hint="eastAsia" w:cs="宋体"/>
        </w:rPr>
        <w:t>物理改性粉煤灰时混凝土强度上升</w:t>
      </w:r>
      <w:r>
        <w:t>6.02%</w:t>
      </w:r>
      <w:r>
        <w:rPr>
          <w:rFonts w:hint="eastAsia" w:cs="宋体"/>
        </w:rPr>
        <w:t>；掺入</w:t>
      </w:r>
      <w:r>
        <w:t>20%</w:t>
      </w:r>
      <w:r>
        <w:rPr>
          <w:rFonts w:hint="eastAsia" w:cs="宋体"/>
        </w:rPr>
        <w:t>物理改性粉煤灰时混凝土强度上升</w:t>
      </w:r>
      <w:r>
        <w:t>8.39%</w:t>
      </w:r>
      <w:r>
        <w:rPr>
          <w:rFonts w:hint="eastAsia" w:cs="宋体"/>
        </w:rPr>
        <w:t>；掺入</w:t>
      </w:r>
      <w:r>
        <w:t>30%</w:t>
      </w:r>
      <w:r>
        <w:rPr>
          <w:rFonts w:hint="eastAsia" w:cs="宋体"/>
        </w:rPr>
        <w:t>物理改性粉煤灰时混凝土强度上升</w:t>
      </w:r>
      <w:r>
        <w:t>9.42%</w:t>
      </w:r>
      <w:r>
        <w:rPr>
          <w:rFonts w:hint="eastAsia" w:cs="宋体"/>
        </w:rPr>
        <w:t>；掺入</w:t>
      </w:r>
      <w:r>
        <w:t>40%</w:t>
      </w:r>
      <w:r>
        <w:rPr>
          <w:rFonts w:hint="eastAsia" w:cs="宋体"/>
        </w:rPr>
        <w:t>物理改性粉煤灰时混凝土强度上升</w:t>
      </w:r>
      <w:r>
        <w:t>8.83%</w:t>
      </w:r>
      <w:r>
        <w:rPr>
          <w:rFonts w:hint="eastAsia" w:cs="宋体"/>
        </w:rPr>
        <w:t>；掺入</w:t>
      </w:r>
      <w:r>
        <w:t>50%</w:t>
      </w:r>
      <w:r>
        <w:rPr>
          <w:rFonts w:hint="eastAsia" w:cs="宋体"/>
        </w:rPr>
        <w:t>物理改性粉煤灰时混凝土强度上升</w:t>
      </w:r>
      <w:r>
        <w:t>15.84%</w:t>
      </w:r>
      <w:r>
        <w:rPr>
          <w:rFonts w:hint="eastAsia" w:cs="宋体"/>
        </w:rPr>
        <w:t>。相较原灰，掺入</w:t>
      </w:r>
      <w:r>
        <w:t>10%</w:t>
      </w:r>
      <w:r>
        <w:rPr>
          <w:rFonts w:hint="eastAsia" w:cs="宋体"/>
        </w:rPr>
        <w:t>物理改性粉煤灰时混凝土强度上升</w:t>
      </w:r>
      <w:r>
        <w:t>16.12%</w:t>
      </w:r>
      <w:r>
        <w:rPr>
          <w:rFonts w:hint="eastAsia" w:cs="宋体"/>
        </w:rPr>
        <w:t>；掺入</w:t>
      </w:r>
      <w:r>
        <w:t>20%</w:t>
      </w:r>
      <w:r>
        <w:rPr>
          <w:rFonts w:hint="eastAsia" w:cs="宋体"/>
        </w:rPr>
        <w:t>物理改性粉煤灰时混凝土强度上升</w:t>
      </w:r>
      <w:r>
        <w:t>16.51%</w:t>
      </w:r>
      <w:r>
        <w:rPr>
          <w:rFonts w:hint="eastAsia" w:cs="宋体"/>
        </w:rPr>
        <w:t>；掺入</w:t>
      </w:r>
      <w:r>
        <w:t>30%</w:t>
      </w:r>
      <w:r>
        <w:rPr>
          <w:rFonts w:hint="eastAsia" w:cs="宋体"/>
        </w:rPr>
        <w:t>物理改性粉煤灰时混凝土强度上升</w:t>
      </w:r>
      <w:r>
        <w:t>18.33%</w:t>
      </w:r>
      <w:r>
        <w:rPr>
          <w:rFonts w:hint="eastAsia" w:cs="宋体"/>
        </w:rPr>
        <w:t>；掺入</w:t>
      </w:r>
      <w:r>
        <w:t>40%</w:t>
      </w:r>
      <w:r>
        <w:rPr>
          <w:rFonts w:hint="eastAsia" w:cs="宋体"/>
        </w:rPr>
        <w:t>物理改性粉煤灰时混凝土强度上升</w:t>
      </w:r>
      <w:r>
        <w:t>20.13%</w:t>
      </w:r>
      <w:r>
        <w:rPr>
          <w:rFonts w:hint="eastAsia" w:cs="宋体"/>
        </w:rPr>
        <w:t>；掺入</w:t>
      </w:r>
      <w:r>
        <w:t>50%</w:t>
      </w:r>
      <w:r>
        <w:rPr>
          <w:rFonts w:hint="eastAsia" w:cs="宋体"/>
        </w:rPr>
        <w:t>物理改性粉煤灰时混凝土强度上升</w:t>
      </w:r>
      <w:r>
        <w:t>21.04%，</w:t>
      </w:r>
      <w:r>
        <w:rPr>
          <w:rFonts w:hint="eastAsia"/>
        </w:rPr>
        <w:t>可达到C45混凝土强度等级，而原灰和</w:t>
      </w:r>
      <w:r>
        <w:rPr>
          <w:color w:val="000000"/>
        </w:rPr>
        <w:t>Ⅱ</w:t>
      </w:r>
      <w:r>
        <w:rPr>
          <w:rFonts w:hint="eastAsia"/>
        </w:rPr>
        <w:t>级灰达不到C45混凝土强度等级要求</w:t>
      </w:r>
      <w:r>
        <w:rPr>
          <w:rFonts w:hint="eastAsia" w:cs="宋体"/>
        </w:rPr>
        <w:t>。</w:t>
      </w:r>
    </w:p>
    <w:p w14:paraId="6444DA91">
      <w:pPr>
        <w:pStyle w:val="37"/>
        <w:numPr>
          <w:ilvl w:val="3"/>
          <w:numId w:val="2"/>
        </w:numPr>
        <w:ind w:firstLine="482" w:firstLineChars="200"/>
        <w:outlineLvl w:val="3"/>
        <w:rPr>
          <w:b/>
          <w:bCs/>
        </w:rPr>
      </w:pPr>
      <w:r>
        <w:rPr>
          <w:rFonts w:hint="eastAsia"/>
          <w:b/>
          <w:bCs/>
        </w:rPr>
        <w:t>粉煤灰对混凝土坍落度与扩展度影响</w:t>
      </w:r>
    </w:p>
    <w:p w14:paraId="4081C936">
      <w:pPr>
        <w:ind w:firstLine="480" w:firstLineChars="200"/>
      </w:pPr>
      <w:r>
        <w:rPr>
          <w:rFonts w:hint="eastAsia" w:cs="宋体"/>
        </w:rPr>
        <w:t>粉煤灰不同掺量对</w:t>
      </w:r>
      <w:r>
        <w:t>C30</w:t>
      </w:r>
      <w:r>
        <w:rPr>
          <w:rFonts w:hint="eastAsia" w:cs="宋体"/>
        </w:rPr>
        <w:t>、</w:t>
      </w:r>
      <w:r>
        <w:t>C45</w:t>
      </w:r>
      <w:r>
        <w:rPr>
          <w:rFonts w:hint="eastAsia" w:cs="宋体"/>
        </w:rPr>
        <w:t>混凝土坍落度与扩展度影响见</w:t>
      </w:r>
      <w:r>
        <w:rPr>
          <w:rFonts w:hint="eastAsia" w:cs="宋体"/>
        </w:rPr>
        <w:fldChar w:fldCharType="begin"/>
      </w:r>
      <w:r>
        <w:rPr>
          <w:rFonts w:hint="eastAsia" w:cs="宋体"/>
        </w:rPr>
        <w:instrText xml:space="preserve"> REF _Ref230721579 \h </w:instrText>
      </w:r>
      <w:r>
        <w:rPr>
          <w:rFonts w:cs="宋体"/>
        </w:rPr>
        <w:instrText xml:space="preserve"> \* MERGEFORMAT </w:instrText>
      </w:r>
      <w:r>
        <w:rPr>
          <w:rFonts w:hint="eastAsia" w:cs="宋体"/>
        </w:rPr>
        <w:fldChar w:fldCharType="separate"/>
      </w:r>
      <w:r>
        <w:rPr>
          <w:rFonts w:hint="eastAsia"/>
        </w:rPr>
        <w:t>表</w:t>
      </w:r>
      <w:r>
        <w:t>16</w:t>
      </w:r>
      <w:r>
        <w:rPr>
          <w:rFonts w:hint="eastAsia" w:cs="宋体"/>
        </w:rPr>
        <w:fldChar w:fldCharType="end"/>
      </w:r>
      <w:r>
        <w:rPr>
          <w:rFonts w:hint="eastAsia" w:cs="宋体"/>
        </w:rPr>
        <w:t>。</w:t>
      </w:r>
    </w:p>
    <w:p w14:paraId="2E14FC2B">
      <w:pPr>
        <w:rPr>
          <w:rFonts w:hint="eastAsia"/>
        </w:rPr>
      </w:pPr>
      <w:bookmarkStart w:id="25" w:name="_Ref230721579"/>
      <w:r>
        <w:rPr>
          <w:rFonts w:hint="eastAsia"/>
        </w:rPr>
        <w:br w:type="page"/>
      </w:r>
    </w:p>
    <w:p w14:paraId="7AF6E5F7">
      <w:pPr>
        <w:autoSpaceDE w:val="0"/>
        <w:jc w:val="center"/>
      </w:pPr>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16</w:t>
      </w:r>
      <w:r>
        <w:fldChar w:fldCharType="end"/>
      </w:r>
      <w:bookmarkEnd w:id="25"/>
      <w:r>
        <w:rPr>
          <w:rFonts w:hint="eastAsia"/>
        </w:rPr>
        <w:t xml:space="preserve"> </w:t>
      </w:r>
      <w:r>
        <w:rPr>
          <w:rFonts w:hint="eastAsia" w:cs="宋体"/>
        </w:rPr>
        <w:t>粉煤灰不同掺量对</w:t>
      </w:r>
      <w:r>
        <w:t>C30</w:t>
      </w:r>
      <w:r>
        <w:rPr>
          <w:rFonts w:hint="eastAsia" w:cs="宋体"/>
        </w:rPr>
        <w:t>、</w:t>
      </w:r>
      <w:r>
        <w:t>C45</w:t>
      </w:r>
      <w:r>
        <w:rPr>
          <w:rFonts w:hint="eastAsia" w:cs="宋体"/>
        </w:rPr>
        <w:t>混凝土坍落度与扩展度影响</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8"/>
        <w:gridCol w:w="2161"/>
        <w:gridCol w:w="1955"/>
        <w:gridCol w:w="922"/>
        <w:gridCol w:w="922"/>
        <w:gridCol w:w="922"/>
        <w:gridCol w:w="922"/>
      </w:tblGrid>
      <w:tr w14:paraId="58053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restart"/>
            <w:noWrap/>
            <w:vAlign w:val="center"/>
          </w:tcPr>
          <w:p w14:paraId="6CE13F6C">
            <w:pPr>
              <w:autoSpaceDE w:val="0"/>
              <w:spacing w:line="240" w:lineRule="auto"/>
              <w:jc w:val="center"/>
            </w:pPr>
            <w:r>
              <w:rPr>
                <w:rFonts w:hint="eastAsia" w:cs="宋体"/>
              </w:rPr>
              <w:t>序号</w:t>
            </w:r>
          </w:p>
        </w:tc>
        <w:tc>
          <w:tcPr>
            <w:tcW w:w="1268" w:type="pct"/>
            <w:vMerge w:val="restart"/>
            <w:noWrap/>
            <w:vAlign w:val="center"/>
          </w:tcPr>
          <w:p w14:paraId="184AF478">
            <w:pPr>
              <w:autoSpaceDE w:val="0"/>
              <w:spacing w:line="240" w:lineRule="auto"/>
              <w:jc w:val="center"/>
            </w:pPr>
            <w:r>
              <w:rPr>
                <w:rFonts w:hint="eastAsia" w:cs="宋体"/>
              </w:rPr>
              <w:t>粉煤灰掺量（</w:t>
            </w:r>
            <w:r>
              <w:t>%</w:t>
            </w:r>
            <w:r>
              <w:rPr>
                <w:rFonts w:hint="eastAsia" w:cs="宋体"/>
              </w:rPr>
              <w:t>）</w:t>
            </w:r>
          </w:p>
        </w:tc>
        <w:tc>
          <w:tcPr>
            <w:tcW w:w="1147" w:type="pct"/>
            <w:vMerge w:val="restart"/>
            <w:noWrap/>
            <w:vAlign w:val="center"/>
          </w:tcPr>
          <w:p w14:paraId="0E91582B">
            <w:pPr>
              <w:autoSpaceDE w:val="0"/>
              <w:spacing w:line="240" w:lineRule="auto"/>
              <w:jc w:val="center"/>
            </w:pPr>
            <w:r>
              <w:rPr>
                <w:rFonts w:hint="eastAsia" w:cs="宋体"/>
              </w:rPr>
              <w:t>品名</w:t>
            </w:r>
          </w:p>
        </w:tc>
        <w:tc>
          <w:tcPr>
            <w:tcW w:w="1082" w:type="pct"/>
            <w:gridSpan w:val="2"/>
            <w:noWrap/>
            <w:vAlign w:val="center"/>
          </w:tcPr>
          <w:p w14:paraId="78F0226A">
            <w:pPr>
              <w:autoSpaceDE w:val="0"/>
              <w:spacing w:line="240" w:lineRule="auto"/>
              <w:jc w:val="center"/>
            </w:pPr>
            <w:r>
              <w:rPr>
                <w:rFonts w:hint="eastAsia" w:cs="宋体"/>
              </w:rPr>
              <w:t>坍落度（</w:t>
            </w:r>
            <w:r>
              <w:t>mm</w:t>
            </w:r>
            <w:r>
              <w:rPr>
                <w:rFonts w:hint="eastAsia" w:cs="宋体"/>
              </w:rPr>
              <w:t>）</w:t>
            </w:r>
          </w:p>
        </w:tc>
        <w:tc>
          <w:tcPr>
            <w:tcW w:w="1082" w:type="pct"/>
            <w:gridSpan w:val="2"/>
            <w:noWrap/>
            <w:vAlign w:val="center"/>
          </w:tcPr>
          <w:p w14:paraId="2F653093">
            <w:pPr>
              <w:autoSpaceDE w:val="0"/>
              <w:spacing w:line="240" w:lineRule="auto"/>
              <w:jc w:val="center"/>
            </w:pPr>
            <w:r>
              <w:rPr>
                <w:rFonts w:hint="eastAsia" w:cs="宋体"/>
              </w:rPr>
              <w:t>扩展度（</w:t>
            </w:r>
            <w:r>
              <w:t>mm</w:t>
            </w:r>
            <w:r>
              <w:rPr>
                <w:rFonts w:hint="eastAsia" w:cs="宋体"/>
              </w:rPr>
              <w:t>）</w:t>
            </w:r>
          </w:p>
        </w:tc>
      </w:tr>
      <w:tr w14:paraId="00308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continue"/>
            <w:vAlign w:val="center"/>
          </w:tcPr>
          <w:p w14:paraId="5B61735B">
            <w:pPr>
              <w:spacing w:line="240" w:lineRule="auto"/>
              <w:jc w:val="center"/>
              <w:rPr>
                <w:sz w:val="21"/>
                <w:szCs w:val="21"/>
              </w:rPr>
            </w:pPr>
          </w:p>
        </w:tc>
        <w:tc>
          <w:tcPr>
            <w:tcW w:w="1268" w:type="pct"/>
            <w:vMerge w:val="continue"/>
            <w:vAlign w:val="center"/>
          </w:tcPr>
          <w:p w14:paraId="44934433">
            <w:pPr>
              <w:spacing w:line="240" w:lineRule="auto"/>
              <w:jc w:val="center"/>
              <w:rPr>
                <w:sz w:val="21"/>
                <w:szCs w:val="21"/>
              </w:rPr>
            </w:pPr>
          </w:p>
        </w:tc>
        <w:tc>
          <w:tcPr>
            <w:tcW w:w="1147" w:type="pct"/>
            <w:vMerge w:val="continue"/>
            <w:vAlign w:val="center"/>
          </w:tcPr>
          <w:p w14:paraId="60AC1FB5">
            <w:pPr>
              <w:spacing w:line="240" w:lineRule="auto"/>
              <w:jc w:val="center"/>
              <w:rPr>
                <w:sz w:val="21"/>
                <w:szCs w:val="21"/>
              </w:rPr>
            </w:pPr>
          </w:p>
        </w:tc>
        <w:tc>
          <w:tcPr>
            <w:tcW w:w="541" w:type="pct"/>
            <w:noWrap/>
            <w:vAlign w:val="center"/>
          </w:tcPr>
          <w:p w14:paraId="46495206">
            <w:pPr>
              <w:autoSpaceDE w:val="0"/>
              <w:spacing w:line="240" w:lineRule="auto"/>
              <w:jc w:val="center"/>
            </w:pPr>
            <w:r>
              <w:t>C30</w:t>
            </w:r>
          </w:p>
        </w:tc>
        <w:tc>
          <w:tcPr>
            <w:tcW w:w="541" w:type="pct"/>
            <w:noWrap/>
            <w:vAlign w:val="center"/>
          </w:tcPr>
          <w:p w14:paraId="05DC7FE8">
            <w:pPr>
              <w:autoSpaceDE w:val="0"/>
              <w:spacing w:line="240" w:lineRule="auto"/>
              <w:jc w:val="center"/>
            </w:pPr>
            <w:r>
              <w:t>C45</w:t>
            </w:r>
          </w:p>
        </w:tc>
        <w:tc>
          <w:tcPr>
            <w:tcW w:w="541" w:type="pct"/>
            <w:noWrap/>
            <w:vAlign w:val="center"/>
          </w:tcPr>
          <w:p w14:paraId="7723A4F2">
            <w:pPr>
              <w:autoSpaceDE w:val="0"/>
              <w:spacing w:line="240" w:lineRule="auto"/>
              <w:jc w:val="center"/>
            </w:pPr>
            <w:r>
              <w:t>C30</w:t>
            </w:r>
          </w:p>
        </w:tc>
        <w:tc>
          <w:tcPr>
            <w:tcW w:w="541" w:type="pct"/>
            <w:noWrap/>
            <w:vAlign w:val="center"/>
          </w:tcPr>
          <w:p w14:paraId="2D7BC490">
            <w:pPr>
              <w:autoSpaceDE w:val="0"/>
              <w:spacing w:line="240" w:lineRule="auto"/>
              <w:jc w:val="center"/>
            </w:pPr>
            <w:r>
              <w:t>C45</w:t>
            </w:r>
          </w:p>
        </w:tc>
      </w:tr>
      <w:tr w14:paraId="5C8B5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restart"/>
            <w:noWrap/>
            <w:vAlign w:val="center"/>
          </w:tcPr>
          <w:p w14:paraId="613D2CB5">
            <w:pPr>
              <w:autoSpaceDE w:val="0"/>
              <w:spacing w:line="240" w:lineRule="auto"/>
              <w:jc w:val="center"/>
            </w:pPr>
            <w:r>
              <w:t>1</w:t>
            </w:r>
          </w:p>
        </w:tc>
        <w:tc>
          <w:tcPr>
            <w:tcW w:w="1268" w:type="pct"/>
            <w:vMerge w:val="restart"/>
            <w:noWrap/>
            <w:vAlign w:val="center"/>
          </w:tcPr>
          <w:p w14:paraId="02E8F30D">
            <w:pPr>
              <w:autoSpaceDE w:val="0"/>
              <w:spacing w:line="240" w:lineRule="auto"/>
              <w:jc w:val="center"/>
            </w:pPr>
            <w:r>
              <w:t>10</w:t>
            </w:r>
          </w:p>
        </w:tc>
        <w:tc>
          <w:tcPr>
            <w:tcW w:w="1147" w:type="pct"/>
            <w:noWrap/>
            <w:vAlign w:val="center"/>
          </w:tcPr>
          <w:p w14:paraId="3DC0ECAD">
            <w:pPr>
              <w:autoSpaceDE w:val="0"/>
              <w:spacing w:line="240" w:lineRule="auto"/>
              <w:jc w:val="center"/>
            </w:pPr>
            <w:r>
              <w:rPr>
                <w:rFonts w:hint="eastAsia" w:cs="宋体"/>
              </w:rPr>
              <w:t>原灰</w:t>
            </w:r>
          </w:p>
        </w:tc>
        <w:tc>
          <w:tcPr>
            <w:tcW w:w="541" w:type="pct"/>
            <w:noWrap/>
            <w:vAlign w:val="center"/>
          </w:tcPr>
          <w:p w14:paraId="2D44701C">
            <w:pPr>
              <w:autoSpaceDE w:val="0"/>
              <w:spacing w:line="240" w:lineRule="auto"/>
              <w:jc w:val="center"/>
            </w:pPr>
            <w:r>
              <w:t>200</w:t>
            </w:r>
          </w:p>
        </w:tc>
        <w:tc>
          <w:tcPr>
            <w:tcW w:w="541" w:type="pct"/>
            <w:noWrap/>
            <w:vAlign w:val="center"/>
          </w:tcPr>
          <w:p w14:paraId="358DA2B0">
            <w:pPr>
              <w:autoSpaceDE w:val="0"/>
              <w:spacing w:line="240" w:lineRule="auto"/>
              <w:jc w:val="center"/>
            </w:pPr>
            <w:r>
              <w:t>205</w:t>
            </w:r>
          </w:p>
        </w:tc>
        <w:tc>
          <w:tcPr>
            <w:tcW w:w="541" w:type="pct"/>
            <w:noWrap/>
            <w:vAlign w:val="center"/>
          </w:tcPr>
          <w:p w14:paraId="15A6FC7A">
            <w:pPr>
              <w:autoSpaceDE w:val="0"/>
              <w:spacing w:line="240" w:lineRule="auto"/>
              <w:jc w:val="center"/>
            </w:pPr>
            <w:r>
              <w:t>470</w:t>
            </w:r>
          </w:p>
        </w:tc>
        <w:tc>
          <w:tcPr>
            <w:tcW w:w="541" w:type="pct"/>
            <w:noWrap/>
            <w:vAlign w:val="center"/>
          </w:tcPr>
          <w:p w14:paraId="4230932F">
            <w:pPr>
              <w:autoSpaceDE w:val="0"/>
              <w:spacing w:line="240" w:lineRule="auto"/>
              <w:jc w:val="center"/>
            </w:pPr>
            <w:r>
              <w:t>470</w:t>
            </w:r>
          </w:p>
        </w:tc>
      </w:tr>
      <w:tr w14:paraId="3C580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continue"/>
            <w:vAlign w:val="center"/>
          </w:tcPr>
          <w:p w14:paraId="6933A76D">
            <w:pPr>
              <w:spacing w:line="240" w:lineRule="auto"/>
              <w:jc w:val="center"/>
              <w:rPr>
                <w:sz w:val="21"/>
                <w:szCs w:val="21"/>
              </w:rPr>
            </w:pPr>
          </w:p>
        </w:tc>
        <w:tc>
          <w:tcPr>
            <w:tcW w:w="1268" w:type="pct"/>
            <w:vMerge w:val="continue"/>
            <w:vAlign w:val="center"/>
          </w:tcPr>
          <w:p w14:paraId="7DAAE167">
            <w:pPr>
              <w:spacing w:line="240" w:lineRule="auto"/>
              <w:jc w:val="center"/>
              <w:rPr>
                <w:sz w:val="21"/>
                <w:szCs w:val="21"/>
              </w:rPr>
            </w:pPr>
          </w:p>
        </w:tc>
        <w:tc>
          <w:tcPr>
            <w:tcW w:w="1147" w:type="pct"/>
            <w:noWrap/>
            <w:vAlign w:val="center"/>
          </w:tcPr>
          <w:p w14:paraId="1F962056">
            <w:pPr>
              <w:autoSpaceDE w:val="0"/>
              <w:spacing w:line="240" w:lineRule="auto"/>
              <w:jc w:val="center"/>
            </w:pPr>
            <w:r>
              <w:t>Ⅱ</w:t>
            </w:r>
            <w:r>
              <w:rPr>
                <w:rFonts w:hint="eastAsia" w:cs="宋体"/>
              </w:rPr>
              <w:t>级粉煤灰</w:t>
            </w:r>
          </w:p>
        </w:tc>
        <w:tc>
          <w:tcPr>
            <w:tcW w:w="541" w:type="pct"/>
            <w:noWrap/>
            <w:vAlign w:val="center"/>
          </w:tcPr>
          <w:p w14:paraId="5D6336B7">
            <w:pPr>
              <w:autoSpaceDE w:val="0"/>
              <w:spacing w:line="240" w:lineRule="auto"/>
              <w:jc w:val="center"/>
            </w:pPr>
            <w:r>
              <w:t>200</w:t>
            </w:r>
          </w:p>
        </w:tc>
        <w:tc>
          <w:tcPr>
            <w:tcW w:w="541" w:type="pct"/>
            <w:noWrap/>
            <w:vAlign w:val="center"/>
          </w:tcPr>
          <w:p w14:paraId="42370284">
            <w:pPr>
              <w:autoSpaceDE w:val="0"/>
              <w:spacing w:line="240" w:lineRule="auto"/>
              <w:jc w:val="center"/>
            </w:pPr>
            <w:r>
              <w:t>200</w:t>
            </w:r>
          </w:p>
        </w:tc>
        <w:tc>
          <w:tcPr>
            <w:tcW w:w="541" w:type="pct"/>
            <w:noWrap/>
            <w:vAlign w:val="center"/>
          </w:tcPr>
          <w:p w14:paraId="53685B57">
            <w:pPr>
              <w:autoSpaceDE w:val="0"/>
              <w:spacing w:line="240" w:lineRule="auto"/>
              <w:jc w:val="center"/>
            </w:pPr>
            <w:r>
              <w:t>480</w:t>
            </w:r>
          </w:p>
        </w:tc>
        <w:tc>
          <w:tcPr>
            <w:tcW w:w="541" w:type="pct"/>
            <w:noWrap/>
            <w:vAlign w:val="center"/>
          </w:tcPr>
          <w:p w14:paraId="65850D31">
            <w:pPr>
              <w:autoSpaceDE w:val="0"/>
              <w:spacing w:line="240" w:lineRule="auto"/>
              <w:jc w:val="center"/>
            </w:pPr>
            <w:r>
              <w:t>440</w:t>
            </w:r>
          </w:p>
        </w:tc>
      </w:tr>
      <w:tr w14:paraId="5732D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continue"/>
            <w:vAlign w:val="center"/>
          </w:tcPr>
          <w:p w14:paraId="1774BD5A">
            <w:pPr>
              <w:spacing w:line="240" w:lineRule="auto"/>
              <w:jc w:val="center"/>
              <w:rPr>
                <w:sz w:val="21"/>
                <w:szCs w:val="21"/>
              </w:rPr>
            </w:pPr>
          </w:p>
        </w:tc>
        <w:tc>
          <w:tcPr>
            <w:tcW w:w="1268" w:type="pct"/>
            <w:vMerge w:val="continue"/>
            <w:vAlign w:val="center"/>
          </w:tcPr>
          <w:p w14:paraId="7490E036">
            <w:pPr>
              <w:spacing w:line="240" w:lineRule="auto"/>
              <w:jc w:val="center"/>
              <w:rPr>
                <w:sz w:val="21"/>
                <w:szCs w:val="21"/>
              </w:rPr>
            </w:pPr>
          </w:p>
        </w:tc>
        <w:tc>
          <w:tcPr>
            <w:tcW w:w="1147" w:type="pct"/>
            <w:noWrap/>
            <w:vAlign w:val="center"/>
          </w:tcPr>
          <w:p w14:paraId="74F6727F">
            <w:pPr>
              <w:autoSpaceDE w:val="0"/>
              <w:spacing w:line="240" w:lineRule="auto"/>
              <w:jc w:val="center"/>
            </w:pPr>
            <w:r>
              <w:rPr>
                <w:rFonts w:hint="eastAsia" w:cs="宋体"/>
              </w:rPr>
              <w:t>物理改性粉煤灰</w:t>
            </w:r>
          </w:p>
        </w:tc>
        <w:tc>
          <w:tcPr>
            <w:tcW w:w="541" w:type="pct"/>
            <w:noWrap/>
            <w:vAlign w:val="center"/>
          </w:tcPr>
          <w:p w14:paraId="2D936E25">
            <w:pPr>
              <w:autoSpaceDE w:val="0"/>
              <w:spacing w:line="240" w:lineRule="auto"/>
              <w:jc w:val="center"/>
            </w:pPr>
            <w:r>
              <w:t>200</w:t>
            </w:r>
          </w:p>
        </w:tc>
        <w:tc>
          <w:tcPr>
            <w:tcW w:w="541" w:type="pct"/>
            <w:noWrap/>
            <w:vAlign w:val="center"/>
          </w:tcPr>
          <w:p w14:paraId="0BF54C99">
            <w:pPr>
              <w:autoSpaceDE w:val="0"/>
              <w:spacing w:line="240" w:lineRule="auto"/>
              <w:jc w:val="center"/>
            </w:pPr>
            <w:r>
              <w:t>230</w:t>
            </w:r>
          </w:p>
        </w:tc>
        <w:tc>
          <w:tcPr>
            <w:tcW w:w="541" w:type="pct"/>
            <w:noWrap/>
            <w:vAlign w:val="center"/>
          </w:tcPr>
          <w:p w14:paraId="5C88442D">
            <w:pPr>
              <w:autoSpaceDE w:val="0"/>
              <w:spacing w:line="240" w:lineRule="auto"/>
              <w:jc w:val="center"/>
            </w:pPr>
            <w:r>
              <w:t>505</w:t>
            </w:r>
          </w:p>
        </w:tc>
        <w:tc>
          <w:tcPr>
            <w:tcW w:w="541" w:type="pct"/>
            <w:noWrap/>
            <w:vAlign w:val="center"/>
          </w:tcPr>
          <w:p w14:paraId="72AC4DD5">
            <w:pPr>
              <w:autoSpaceDE w:val="0"/>
              <w:spacing w:line="240" w:lineRule="auto"/>
              <w:jc w:val="center"/>
            </w:pPr>
            <w:r>
              <w:t>555</w:t>
            </w:r>
          </w:p>
        </w:tc>
      </w:tr>
      <w:tr w14:paraId="1CF3C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restart"/>
            <w:noWrap/>
            <w:vAlign w:val="center"/>
          </w:tcPr>
          <w:p w14:paraId="5538E828">
            <w:pPr>
              <w:autoSpaceDE w:val="0"/>
              <w:spacing w:line="240" w:lineRule="auto"/>
              <w:jc w:val="center"/>
            </w:pPr>
            <w:r>
              <w:t>2</w:t>
            </w:r>
          </w:p>
        </w:tc>
        <w:tc>
          <w:tcPr>
            <w:tcW w:w="1268" w:type="pct"/>
            <w:vMerge w:val="restart"/>
            <w:noWrap/>
            <w:vAlign w:val="center"/>
          </w:tcPr>
          <w:p w14:paraId="032F1D01">
            <w:pPr>
              <w:autoSpaceDE w:val="0"/>
              <w:spacing w:line="240" w:lineRule="auto"/>
              <w:jc w:val="center"/>
            </w:pPr>
            <w:r>
              <w:t>20</w:t>
            </w:r>
          </w:p>
        </w:tc>
        <w:tc>
          <w:tcPr>
            <w:tcW w:w="1147" w:type="pct"/>
            <w:noWrap/>
            <w:vAlign w:val="center"/>
          </w:tcPr>
          <w:p w14:paraId="41785401">
            <w:pPr>
              <w:autoSpaceDE w:val="0"/>
              <w:spacing w:line="240" w:lineRule="auto"/>
              <w:jc w:val="center"/>
            </w:pPr>
            <w:r>
              <w:rPr>
                <w:rFonts w:hint="eastAsia" w:cs="宋体"/>
              </w:rPr>
              <w:t>原灰</w:t>
            </w:r>
          </w:p>
        </w:tc>
        <w:tc>
          <w:tcPr>
            <w:tcW w:w="541" w:type="pct"/>
            <w:noWrap/>
            <w:vAlign w:val="center"/>
          </w:tcPr>
          <w:p w14:paraId="403B7D63">
            <w:pPr>
              <w:autoSpaceDE w:val="0"/>
              <w:spacing w:line="240" w:lineRule="auto"/>
              <w:jc w:val="center"/>
            </w:pPr>
            <w:r>
              <w:t>205</w:t>
            </w:r>
          </w:p>
        </w:tc>
        <w:tc>
          <w:tcPr>
            <w:tcW w:w="541" w:type="pct"/>
            <w:noWrap/>
            <w:vAlign w:val="center"/>
          </w:tcPr>
          <w:p w14:paraId="45461356">
            <w:pPr>
              <w:autoSpaceDE w:val="0"/>
              <w:spacing w:line="240" w:lineRule="auto"/>
              <w:jc w:val="center"/>
            </w:pPr>
            <w:r>
              <w:t>210</w:t>
            </w:r>
          </w:p>
        </w:tc>
        <w:tc>
          <w:tcPr>
            <w:tcW w:w="541" w:type="pct"/>
            <w:noWrap/>
            <w:vAlign w:val="center"/>
          </w:tcPr>
          <w:p w14:paraId="2C6091F3">
            <w:pPr>
              <w:autoSpaceDE w:val="0"/>
              <w:spacing w:line="240" w:lineRule="auto"/>
              <w:jc w:val="center"/>
            </w:pPr>
            <w:r>
              <w:t>430</w:t>
            </w:r>
          </w:p>
        </w:tc>
        <w:tc>
          <w:tcPr>
            <w:tcW w:w="541" w:type="pct"/>
            <w:noWrap/>
            <w:vAlign w:val="center"/>
          </w:tcPr>
          <w:p w14:paraId="0FCBEA9A">
            <w:pPr>
              <w:autoSpaceDE w:val="0"/>
              <w:spacing w:line="240" w:lineRule="auto"/>
              <w:jc w:val="center"/>
            </w:pPr>
            <w:r>
              <w:t>500</w:t>
            </w:r>
          </w:p>
        </w:tc>
      </w:tr>
      <w:tr w14:paraId="2CF46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continue"/>
            <w:vAlign w:val="center"/>
          </w:tcPr>
          <w:p w14:paraId="4F6C06F1">
            <w:pPr>
              <w:spacing w:line="240" w:lineRule="auto"/>
              <w:jc w:val="center"/>
              <w:rPr>
                <w:sz w:val="21"/>
                <w:szCs w:val="21"/>
              </w:rPr>
            </w:pPr>
          </w:p>
        </w:tc>
        <w:tc>
          <w:tcPr>
            <w:tcW w:w="1268" w:type="pct"/>
            <w:vMerge w:val="continue"/>
            <w:vAlign w:val="center"/>
          </w:tcPr>
          <w:p w14:paraId="7E531F8B">
            <w:pPr>
              <w:spacing w:line="240" w:lineRule="auto"/>
              <w:jc w:val="center"/>
              <w:rPr>
                <w:sz w:val="21"/>
                <w:szCs w:val="21"/>
              </w:rPr>
            </w:pPr>
          </w:p>
        </w:tc>
        <w:tc>
          <w:tcPr>
            <w:tcW w:w="1147" w:type="pct"/>
            <w:noWrap/>
            <w:vAlign w:val="center"/>
          </w:tcPr>
          <w:p w14:paraId="55EE0916">
            <w:pPr>
              <w:autoSpaceDE w:val="0"/>
              <w:spacing w:line="240" w:lineRule="auto"/>
              <w:jc w:val="center"/>
            </w:pPr>
            <w:r>
              <w:t>Ⅱ</w:t>
            </w:r>
            <w:r>
              <w:rPr>
                <w:rFonts w:hint="eastAsia" w:cs="宋体"/>
              </w:rPr>
              <w:t>级粉煤灰</w:t>
            </w:r>
          </w:p>
        </w:tc>
        <w:tc>
          <w:tcPr>
            <w:tcW w:w="541" w:type="pct"/>
            <w:noWrap/>
            <w:vAlign w:val="center"/>
          </w:tcPr>
          <w:p w14:paraId="27DF78EB">
            <w:pPr>
              <w:autoSpaceDE w:val="0"/>
              <w:spacing w:line="240" w:lineRule="auto"/>
              <w:jc w:val="center"/>
            </w:pPr>
            <w:r>
              <w:t>220</w:t>
            </w:r>
          </w:p>
        </w:tc>
        <w:tc>
          <w:tcPr>
            <w:tcW w:w="541" w:type="pct"/>
            <w:noWrap/>
            <w:vAlign w:val="center"/>
          </w:tcPr>
          <w:p w14:paraId="432EA6BD">
            <w:pPr>
              <w:autoSpaceDE w:val="0"/>
              <w:spacing w:line="240" w:lineRule="auto"/>
              <w:jc w:val="center"/>
            </w:pPr>
            <w:r>
              <w:t>220</w:t>
            </w:r>
          </w:p>
        </w:tc>
        <w:tc>
          <w:tcPr>
            <w:tcW w:w="541" w:type="pct"/>
            <w:noWrap/>
            <w:vAlign w:val="center"/>
          </w:tcPr>
          <w:p w14:paraId="6FBF728E">
            <w:pPr>
              <w:autoSpaceDE w:val="0"/>
              <w:spacing w:line="240" w:lineRule="auto"/>
              <w:jc w:val="center"/>
            </w:pPr>
            <w:r>
              <w:t>560</w:t>
            </w:r>
          </w:p>
        </w:tc>
        <w:tc>
          <w:tcPr>
            <w:tcW w:w="541" w:type="pct"/>
            <w:noWrap/>
            <w:vAlign w:val="center"/>
          </w:tcPr>
          <w:p w14:paraId="1E9A9FE2">
            <w:pPr>
              <w:autoSpaceDE w:val="0"/>
              <w:spacing w:line="240" w:lineRule="auto"/>
              <w:jc w:val="center"/>
            </w:pPr>
            <w:r>
              <w:t>495</w:t>
            </w:r>
          </w:p>
        </w:tc>
      </w:tr>
      <w:tr w14:paraId="74312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continue"/>
            <w:vAlign w:val="center"/>
          </w:tcPr>
          <w:p w14:paraId="36856A9C">
            <w:pPr>
              <w:spacing w:line="240" w:lineRule="auto"/>
              <w:jc w:val="center"/>
              <w:rPr>
                <w:sz w:val="21"/>
                <w:szCs w:val="21"/>
              </w:rPr>
            </w:pPr>
          </w:p>
        </w:tc>
        <w:tc>
          <w:tcPr>
            <w:tcW w:w="1268" w:type="pct"/>
            <w:vMerge w:val="continue"/>
            <w:vAlign w:val="center"/>
          </w:tcPr>
          <w:p w14:paraId="3757A416">
            <w:pPr>
              <w:spacing w:line="240" w:lineRule="auto"/>
              <w:jc w:val="center"/>
              <w:rPr>
                <w:sz w:val="21"/>
                <w:szCs w:val="21"/>
              </w:rPr>
            </w:pPr>
          </w:p>
        </w:tc>
        <w:tc>
          <w:tcPr>
            <w:tcW w:w="1147" w:type="pct"/>
            <w:noWrap/>
            <w:vAlign w:val="center"/>
          </w:tcPr>
          <w:p w14:paraId="383EA96C">
            <w:pPr>
              <w:autoSpaceDE w:val="0"/>
              <w:spacing w:line="240" w:lineRule="auto"/>
              <w:jc w:val="center"/>
            </w:pPr>
            <w:r>
              <w:rPr>
                <w:rFonts w:hint="eastAsia" w:cs="宋体"/>
              </w:rPr>
              <w:t>物理改性粉煤灰</w:t>
            </w:r>
          </w:p>
        </w:tc>
        <w:tc>
          <w:tcPr>
            <w:tcW w:w="541" w:type="pct"/>
            <w:noWrap/>
            <w:vAlign w:val="center"/>
          </w:tcPr>
          <w:p w14:paraId="56F66E5F">
            <w:pPr>
              <w:autoSpaceDE w:val="0"/>
              <w:spacing w:line="240" w:lineRule="auto"/>
              <w:jc w:val="center"/>
            </w:pPr>
            <w:r>
              <w:t>235</w:t>
            </w:r>
          </w:p>
        </w:tc>
        <w:tc>
          <w:tcPr>
            <w:tcW w:w="541" w:type="pct"/>
            <w:noWrap/>
            <w:vAlign w:val="center"/>
          </w:tcPr>
          <w:p w14:paraId="46F5200F">
            <w:pPr>
              <w:autoSpaceDE w:val="0"/>
              <w:spacing w:line="240" w:lineRule="auto"/>
              <w:jc w:val="center"/>
            </w:pPr>
            <w:r>
              <w:t>215</w:t>
            </w:r>
          </w:p>
        </w:tc>
        <w:tc>
          <w:tcPr>
            <w:tcW w:w="541" w:type="pct"/>
            <w:noWrap/>
            <w:vAlign w:val="center"/>
          </w:tcPr>
          <w:p w14:paraId="44DBA85B">
            <w:pPr>
              <w:autoSpaceDE w:val="0"/>
              <w:spacing w:line="240" w:lineRule="auto"/>
              <w:jc w:val="center"/>
            </w:pPr>
            <w:r>
              <w:t>525</w:t>
            </w:r>
          </w:p>
        </w:tc>
        <w:tc>
          <w:tcPr>
            <w:tcW w:w="541" w:type="pct"/>
            <w:noWrap/>
            <w:vAlign w:val="center"/>
          </w:tcPr>
          <w:p w14:paraId="39D67AC8">
            <w:pPr>
              <w:autoSpaceDE w:val="0"/>
              <w:spacing w:line="240" w:lineRule="auto"/>
              <w:jc w:val="center"/>
            </w:pPr>
            <w:r>
              <w:t>455</w:t>
            </w:r>
          </w:p>
        </w:tc>
      </w:tr>
      <w:tr w14:paraId="70687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restart"/>
            <w:noWrap/>
            <w:vAlign w:val="center"/>
          </w:tcPr>
          <w:p w14:paraId="1DD8DC39">
            <w:pPr>
              <w:autoSpaceDE w:val="0"/>
              <w:spacing w:line="240" w:lineRule="auto"/>
              <w:jc w:val="center"/>
            </w:pPr>
            <w:r>
              <w:t>3</w:t>
            </w:r>
          </w:p>
        </w:tc>
        <w:tc>
          <w:tcPr>
            <w:tcW w:w="1268" w:type="pct"/>
            <w:vMerge w:val="restart"/>
            <w:noWrap/>
            <w:vAlign w:val="center"/>
          </w:tcPr>
          <w:p w14:paraId="238538DF">
            <w:pPr>
              <w:autoSpaceDE w:val="0"/>
              <w:spacing w:line="240" w:lineRule="auto"/>
              <w:jc w:val="center"/>
            </w:pPr>
            <w:r>
              <w:t>30</w:t>
            </w:r>
          </w:p>
        </w:tc>
        <w:tc>
          <w:tcPr>
            <w:tcW w:w="1147" w:type="pct"/>
            <w:noWrap/>
            <w:vAlign w:val="center"/>
          </w:tcPr>
          <w:p w14:paraId="48E38566">
            <w:pPr>
              <w:autoSpaceDE w:val="0"/>
              <w:spacing w:line="240" w:lineRule="auto"/>
              <w:jc w:val="center"/>
            </w:pPr>
            <w:r>
              <w:rPr>
                <w:rFonts w:hint="eastAsia" w:cs="宋体"/>
              </w:rPr>
              <w:t>原灰</w:t>
            </w:r>
          </w:p>
        </w:tc>
        <w:tc>
          <w:tcPr>
            <w:tcW w:w="541" w:type="pct"/>
            <w:noWrap/>
            <w:vAlign w:val="center"/>
          </w:tcPr>
          <w:p w14:paraId="5B817158">
            <w:pPr>
              <w:autoSpaceDE w:val="0"/>
              <w:spacing w:line="240" w:lineRule="auto"/>
              <w:jc w:val="center"/>
            </w:pPr>
            <w:r>
              <w:t>210</w:t>
            </w:r>
          </w:p>
        </w:tc>
        <w:tc>
          <w:tcPr>
            <w:tcW w:w="541" w:type="pct"/>
            <w:noWrap/>
            <w:vAlign w:val="center"/>
          </w:tcPr>
          <w:p w14:paraId="0FE62E43">
            <w:pPr>
              <w:autoSpaceDE w:val="0"/>
              <w:spacing w:line="240" w:lineRule="auto"/>
              <w:jc w:val="center"/>
            </w:pPr>
            <w:r>
              <w:t>220</w:t>
            </w:r>
          </w:p>
        </w:tc>
        <w:tc>
          <w:tcPr>
            <w:tcW w:w="541" w:type="pct"/>
            <w:noWrap/>
            <w:vAlign w:val="center"/>
          </w:tcPr>
          <w:p w14:paraId="0C898C65">
            <w:pPr>
              <w:autoSpaceDE w:val="0"/>
              <w:spacing w:line="240" w:lineRule="auto"/>
              <w:jc w:val="center"/>
            </w:pPr>
            <w:r>
              <w:t>455</w:t>
            </w:r>
          </w:p>
        </w:tc>
        <w:tc>
          <w:tcPr>
            <w:tcW w:w="541" w:type="pct"/>
            <w:noWrap/>
            <w:vAlign w:val="center"/>
          </w:tcPr>
          <w:p w14:paraId="13DBC02F">
            <w:pPr>
              <w:autoSpaceDE w:val="0"/>
              <w:spacing w:line="240" w:lineRule="auto"/>
              <w:jc w:val="center"/>
            </w:pPr>
            <w:r>
              <w:t>405</w:t>
            </w:r>
          </w:p>
        </w:tc>
      </w:tr>
      <w:tr w14:paraId="1C1A8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continue"/>
            <w:vAlign w:val="center"/>
          </w:tcPr>
          <w:p w14:paraId="72618930">
            <w:pPr>
              <w:spacing w:line="240" w:lineRule="auto"/>
              <w:jc w:val="center"/>
              <w:rPr>
                <w:sz w:val="21"/>
                <w:szCs w:val="21"/>
              </w:rPr>
            </w:pPr>
          </w:p>
        </w:tc>
        <w:tc>
          <w:tcPr>
            <w:tcW w:w="1268" w:type="pct"/>
            <w:vMerge w:val="continue"/>
            <w:vAlign w:val="center"/>
          </w:tcPr>
          <w:p w14:paraId="22D8E45C">
            <w:pPr>
              <w:spacing w:line="240" w:lineRule="auto"/>
              <w:jc w:val="center"/>
              <w:rPr>
                <w:sz w:val="21"/>
                <w:szCs w:val="21"/>
              </w:rPr>
            </w:pPr>
          </w:p>
        </w:tc>
        <w:tc>
          <w:tcPr>
            <w:tcW w:w="1147" w:type="pct"/>
            <w:noWrap/>
            <w:vAlign w:val="center"/>
          </w:tcPr>
          <w:p w14:paraId="75BD62E1">
            <w:pPr>
              <w:autoSpaceDE w:val="0"/>
              <w:spacing w:line="240" w:lineRule="auto"/>
              <w:jc w:val="center"/>
            </w:pPr>
            <w:r>
              <w:t>Ⅱ</w:t>
            </w:r>
            <w:r>
              <w:rPr>
                <w:rFonts w:hint="eastAsia" w:cs="宋体"/>
              </w:rPr>
              <w:t>级粉煤灰</w:t>
            </w:r>
          </w:p>
        </w:tc>
        <w:tc>
          <w:tcPr>
            <w:tcW w:w="541" w:type="pct"/>
            <w:noWrap/>
            <w:vAlign w:val="center"/>
          </w:tcPr>
          <w:p w14:paraId="7D873A2F">
            <w:pPr>
              <w:autoSpaceDE w:val="0"/>
              <w:spacing w:line="240" w:lineRule="auto"/>
              <w:jc w:val="center"/>
            </w:pPr>
            <w:r>
              <w:t>200</w:t>
            </w:r>
          </w:p>
        </w:tc>
        <w:tc>
          <w:tcPr>
            <w:tcW w:w="541" w:type="pct"/>
            <w:noWrap/>
            <w:vAlign w:val="center"/>
          </w:tcPr>
          <w:p w14:paraId="47D0255E">
            <w:pPr>
              <w:autoSpaceDE w:val="0"/>
              <w:spacing w:line="240" w:lineRule="auto"/>
              <w:jc w:val="center"/>
            </w:pPr>
            <w:r>
              <w:t>220</w:t>
            </w:r>
          </w:p>
        </w:tc>
        <w:tc>
          <w:tcPr>
            <w:tcW w:w="541" w:type="pct"/>
            <w:noWrap/>
            <w:vAlign w:val="center"/>
          </w:tcPr>
          <w:p w14:paraId="17367093">
            <w:pPr>
              <w:autoSpaceDE w:val="0"/>
              <w:spacing w:line="240" w:lineRule="auto"/>
              <w:jc w:val="center"/>
            </w:pPr>
            <w:r>
              <w:t>460</w:t>
            </w:r>
          </w:p>
        </w:tc>
        <w:tc>
          <w:tcPr>
            <w:tcW w:w="541" w:type="pct"/>
            <w:noWrap/>
            <w:vAlign w:val="center"/>
          </w:tcPr>
          <w:p w14:paraId="1E8980AF">
            <w:pPr>
              <w:autoSpaceDE w:val="0"/>
              <w:spacing w:line="240" w:lineRule="auto"/>
              <w:jc w:val="center"/>
            </w:pPr>
            <w:r>
              <w:t>500</w:t>
            </w:r>
          </w:p>
        </w:tc>
      </w:tr>
      <w:tr w14:paraId="4AF18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continue"/>
            <w:vAlign w:val="center"/>
          </w:tcPr>
          <w:p w14:paraId="408AF2B8">
            <w:pPr>
              <w:spacing w:line="240" w:lineRule="auto"/>
              <w:jc w:val="center"/>
              <w:rPr>
                <w:sz w:val="21"/>
                <w:szCs w:val="21"/>
              </w:rPr>
            </w:pPr>
          </w:p>
        </w:tc>
        <w:tc>
          <w:tcPr>
            <w:tcW w:w="1268" w:type="pct"/>
            <w:vMerge w:val="continue"/>
            <w:vAlign w:val="center"/>
          </w:tcPr>
          <w:p w14:paraId="2D8E4500">
            <w:pPr>
              <w:spacing w:line="240" w:lineRule="auto"/>
              <w:jc w:val="center"/>
              <w:rPr>
                <w:sz w:val="21"/>
                <w:szCs w:val="21"/>
              </w:rPr>
            </w:pPr>
          </w:p>
        </w:tc>
        <w:tc>
          <w:tcPr>
            <w:tcW w:w="1147" w:type="pct"/>
            <w:noWrap/>
            <w:vAlign w:val="center"/>
          </w:tcPr>
          <w:p w14:paraId="45F9E7C4">
            <w:pPr>
              <w:autoSpaceDE w:val="0"/>
              <w:spacing w:line="240" w:lineRule="auto"/>
              <w:jc w:val="center"/>
            </w:pPr>
            <w:r>
              <w:rPr>
                <w:rFonts w:hint="eastAsia" w:cs="宋体"/>
              </w:rPr>
              <w:t>物理改性粉煤灰</w:t>
            </w:r>
          </w:p>
        </w:tc>
        <w:tc>
          <w:tcPr>
            <w:tcW w:w="541" w:type="pct"/>
            <w:noWrap/>
            <w:vAlign w:val="center"/>
          </w:tcPr>
          <w:p w14:paraId="1F3D3115">
            <w:pPr>
              <w:autoSpaceDE w:val="0"/>
              <w:spacing w:line="240" w:lineRule="auto"/>
              <w:jc w:val="center"/>
            </w:pPr>
            <w:r>
              <w:t>235</w:t>
            </w:r>
          </w:p>
        </w:tc>
        <w:tc>
          <w:tcPr>
            <w:tcW w:w="541" w:type="pct"/>
            <w:noWrap/>
            <w:vAlign w:val="center"/>
          </w:tcPr>
          <w:p w14:paraId="0990B52B">
            <w:pPr>
              <w:autoSpaceDE w:val="0"/>
              <w:spacing w:line="240" w:lineRule="auto"/>
              <w:jc w:val="center"/>
            </w:pPr>
            <w:r>
              <w:t>220</w:t>
            </w:r>
          </w:p>
        </w:tc>
        <w:tc>
          <w:tcPr>
            <w:tcW w:w="541" w:type="pct"/>
            <w:noWrap/>
            <w:vAlign w:val="center"/>
          </w:tcPr>
          <w:p w14:paraId="0F82F17D">
            <w:pPr>
              <w:autoSpaceDE w:val="0"/>
              <w:spacing w:line="240" w:lineRule="auto"/>
              <w:jc w:val="center"/>
            </w:pPr>
            <w:r>
              <w:t>505</w:t>
            </w:r>
          </w:p>
        </w:tc>
        <w:tc>
          <w:tcPr>
            <w:tcW w:w="541" w:type="pct"/>
            <w:noWrap/>
            <w:vAlign w:val="center"/>
          </w:tcPr>
          <w:p w14:paraId="2D770B19">
            <w:pPr>
              <w:autoSpaceDE w:val="0"/>
              <w:spacing w:line="240" w:lineRule="auto"/>
              <w:jc w:val="center"/>
            </w:pPr>
            <w:r>
              <w:t>530</w:t>
            </w:r>
          </w:p>
        </w:tc>
      </w:tr>
      <w:tr w14:paraId="3E123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restart"/>
            <w:noWrap/>
            <w:vAlign w:val="center"/>
          </w:tcPr>
          <w:p w14:paraId="2F69E0E9">
            <w:pPr>
              <w:autoSpaceDE w:val="0"/>
              <w:spacing w:line="240" w:lineRule="auto"/>
              <w:jc w:val="center"/>
            </w:pPr>
            <w:r>
              <w:t>4</w:t>
            </w:r>
          </w:p>
        </w:tc>
        <w:tc>
          <w:tcPr>
            <w:tcW w:w="1268" w:type="pct"/>
            <w:vMerge w:val="restart"/>
            <w:noWrap/>
            <w:vAlign w:val="center"/>
          </w:tcPr>
          <w:p w14:paraId="0BE61833">
            <w:pPr>
              <w:autoSpaceDE w:val="0"/>
              <w:spacing w:line="240" w:lineRule="auto"/>
              <w:jc w:val="center"/>
            </w:pPr>
            <w:r>
              <w:t>40</w:t>
            </w:r>
          </w:p>
        </w:tc>
        <w:tc>
          <w:tcPr>
            <w:tcW w:w="1147" w:type="pct"/>
            <w:noWrap/>
            <w:vAlign w:val="center"/>
          </w:tcPr>
          <w:p w14:paraId="153B0FEE">
            <w:pPr>
              <w:autoSpaceDE w:val="0"/>
              <w:spacing w:line="240" w:lineRule="auto"/>
              <w:jc w:val="center"/>
            </w:pPr>
            <w:r>
              <w:rPr>
                <w:rFonts w:hint="eastAsia" w:cs="宋体"/>
              </w:rPr>
              <w:t>原灰</w:t>
            </w:r>
          </w:p>
        </w:tc>
        <w:tc>
          <w:tcPr>
            <w:tcW w:w="541" w:type="pct"/>
            <w:noWrap/>
            <w:vAlign w:val="center"/>
          </w:tcPr>
          <w:p w14:paraId="15DEE82B">
            <w:pPr>
              <w:autoSpaceDE w:val="0"/>
              <w:spacing w:line="240" w:lineRule="auto"/>
              <w:jc w:val="center"/>
            </w:pPr>
            <w:r>
              <w:t>210</w:t>
            </w:r>
          </w:p>
        </w:tc>
        <w:tc>
          <w:tcPr>
            <w:tcW w:w="541" w:type="pct"/>
            <w:noWrap/>
            <w:vAlign w:val="center"/>
          </w:tcPr>
          <w:p w14:paraId="237D70C5">
            <w:pPr>
              <w:autoSpaceDE w:val="0"/>
              <w:spacing w:line="240" w:lineRule="auto"/>
              <w:jc w:val="center"/>
            </w:pPr>
            <w:r>
              <w:t>230</w:t>
            </w:r>
          </w:p>
        </w:tc>
        <w:tc>
          <w:tcPr>
            <w:tcW w:w="541" w:type="pct"/>
            <w:noWrap/>
            <w:vAlign w:val="center"/>
          </w:tcPr>
          <w:p w14:paraId="1E5C036B">
            <w:pPr>
              <w:autoSpaceDE w:val="0"/>
              <w:spacing w:line="240" w:lineRule="auto"/>
              <w:jc w:val="center"/>
            </w:pPr>
            <w:r>
              <w:t>490</w:t>
            </w:r>
          </w:p>
        </w:tc>
        <w:tc>
          <w:tcPr>
            <w:tcW w:w="541" w:type="pct"/>
            <w:noWrap/>
            <w:vAlign w:val="center"/>
          </w:tcPr>
          <w:p w14:paraId="4AFBEF25">
            <w:pPr>
              <w:autoSpaceDE w:val="0"/>
              <w:spacing w:line="240" w:lineRule="auto"/>
              <w:jc w:val="center"/>
            </w:pPr>
            <w:r>
              <w:t>505</w:t>
            </w:r>
          </w:p>
        </w:tc>
      </w:tr>
      <w:tr w14:paraId="30ADB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continue"/>
            <w:vAlign w:val="center"/>
          </w:tcPr>
          <w:p w14:paraId="5D08A830">
            <w:pPr>
              <w:spacing w:line="240" w:lineRule="auto"/>
              <w:jc w:val="center"/>
              <w:rPr>
                <w:sz w:val="21"/>
                <w:szCs w:val="21"/>
              </w:rPr>
            </w:pPr>
          </w:p>
        </w:tc>
        <w:tc>
          <w:tcPr>
            <w:tcW w:w="1268" w:type="pct"/>
            <w:vMerge w:val="continue"/>
            <w:vAlign w:val="center"/>
          </w:tcPr>
          <w:p w14:paraId="30291F91">
            <w:pPr>
              <w:spacing w:line="240" w:lineRule="auto"/>
              <w:jc w:val="center"/>
              <w:rPr>
                <w:sz w:val="21"/>
                <w:szCs w:val="21"/>
              </w:rPr>
            </w:pPr>
          </w:p>
        </w:tc>
        <w:tc>
          <w:tcPr>
            <w:tcW w:w="1147" w:type="pct"/>
            <w:noWrap/>
            <w:vAlign w:val="center"/>
          </w:tcPr>
          <w:p w14:paraId="34ACC742">
            <w:pPr>
              <w:autoSpaceDE w:val="0"/>
              <w:spacing w:line="240" w:lineRule="auto"/>
              <w:jc w:val="center"/>
            </w:pPr>
            <w:r>
              <w:t>Ⅱ</w:t>
            </w:r>
            <w:r>
              <w:rPr>
                <w:rFonts w:hint="eastAsia" w:cs="宋体"/>
              </w:rPr>
              <w:t>级粉煤灰</w:t>
            </w:r>
          </w:p>
        </w:tc>
        <w:tc>
          <w:tcPr>
            <w:tcW w:w="541" w:type="pct"/>
            <w:noWrap/>
            <w:vAlign w:val="center"/>
          </w:tcPr>
          <w:p w14:paraId="6364F0B0">
            <w:pPr>
              <w:autoSpaceDE w:val="0"/>
              <w:spacing w:line="240" w:lineRule="auto"/>
              <w:jc w:val="center"/>
            </w:pPr>
            <w:r>
              <w:t>200</w:t>
            </w:r>
          </w:p>
        </w:tc>
        <w:tc>
          <w:tcPr>
            <w:tcW w:w="541" w:type="pct"/>
            <w:noWrap/>
            <w:vAlign w:val="center"/>
          </w:tcPr>
          <w:p w14:paraId="3272753E">
            <w:pPr>
              <w:autoSpaceDE w:val="0"/>
              <w:spacing w:line="240" w:lineRule="auto"/>
              <w:jc w:val="center"/>
            </w:pPr>
            <w:r>
              <w:t>230</w:t>
            </w:r>
          </w:p>
        </w:tc>
        <w:tc>
          <w:tcPr>
            <w:tcW w:w="541" w:type="pct"/>
            <w:noWrap/>
            <w:vAlign w:val="center"/>
          </w:tcPr>
          <w:p w14:paraId="6C08952D">
            <w:pPr>
              <w:autoSpaceDE w:val="0"/>
              <w:spacing w:line="240" w:lineRule="auto"/>
              <w:jc w:val="center"/>
            </w:pPr>
            <w:r>
              <w:t>520</w:t>
            </w:r>
          </w:p>
        </w:tc>
        <w:tc>
          <w:tcPr>
            <w:tcW w:w="541" w:type="pct"/>
            <w:noWrap/>
            <w:vAlign w:val="center"/>
          </w:tcPr>
          <w:p w14:paraId="204FCE65">
            <w:pPr>
              <w:autoSpaceDE w:val="0"/>
              <w:spacing w:line="240" w:lineRule="auto"/>
              <w:jc w:val="center"/>
            </w:pPr>
            <w:r>
              <w:t>530</w:t>
            </w:r>
          </w:p>
        </w:tc>
      </w:tr>
      <w:tr w14:paraId="0551E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continue"/>
            <w:vAlign w:val="center"/>
          </w:tcPr>
          <w:p w14:paraId="12D2325D">
            <w:pPr>
              <w:spacing w:line="240" w:lineRule="auto"/>
              <w:jc w:val="center"/>
              <w:rPr>
                <w:sz w:val="21"/>
                <w:szCs w:val="21"/>
              </w:rPr>
            </w:pPr>
          </w:p>
        </w:tc>
        <w:tc>
          <w:tcPr>
            <w:tcW w:w="1268" w:type="pct"/>
            <w:vMerge w:val="continue"/>
            <w:vAlign w:val="center"/>
          </w:tcPr>
          <w:p w14:paraId="24E2D6B4">
            <w:pPr>
              <w:spacing w:line="240" w:lineRule="auto"/>
              <w:jc w:val="center"/>
              <w:rPr>
                <w:sz w:val="21"/>
                <w:szCs w:val="21"/>
              </w:rPr>
            </w:pPr>
          </w:p>
        </w:tc>
        <w:tc>
          <w:tcPr>
            <w:tcW w:w="1147" w:type="pct"/>
            <w:noWrap/>
            <w:vAlign w:val="center"/>
          </w:tcPr>
          <w:p w14:paraId="2D5384B8">
            <w:pPr>
              <w:autoSpaceDE w:val="0"/>
              <w:spacing w:line="240" w:lineRule="auto"/>
              <w:jc w:val="center"/>
            </w:pPr>
            <w:r>
              <w:rPr>
                <w:rFonts w:hint="eastAsia" w:cs="宋体"/>
              </w:rPr>
              <w:t>物理改性粉煤灰</w:t>
            </w:r>
          </w:p>
        </w:tc>
        <w:tc>
          <w:tcPr>
            <w:tcW w:w="541" w:type="pct"/>
            <w:noWrap/>
            <w:vAlign w:val="center"/>
          </w:tcPr>
          <w:p w14:paraId="78174BB3">
            <w:pPr>
              <w:autoSpaceDE w:val="0"/>
              <w:spacing w:line="240" w:lineRule="auto"/>
              <w:jc w:val="center"/>
            </w:pPr>
            <w:r>
              <w:t>220</w:t>
            </w:r>
          </w:p>
        </w:tc>
        <w:tc>
          <w:tcPr>
            <w:tcW w:w="541" w:type="pct"/>
            <w:noWrap/>
            <w:vAlign w:val="center"/>
          </w:tcPr>
          <w:p w14:paraId="30C00F75">
            <w:pPr>
              <w:autoSpaceDE w:val="0"/>
              <w:spacing w:line="240" w:lineRule="auto"/>
              <w:jc w:val="center"/>
            </w:pPr>
            <w:r>
              <w:t>235</w:t>
            </w:r>
          </w:p>
        </w:tc>
        <w:tc>
          <w:tcPr>
            <w:tcW w:w="541" w:type="pct"/>
            <w:noWrap/>
            <w:vAlign w:val="center"/>
          </w:tcPr>
          <w:p w14:paraId="531DD80A">
            <w:pPr>
              <w:autoSpaceDE w:val="0"/>
              <w:spacing w:line="240" w:lineRule="auto"/>
              <w:jc w:val="center"/>
            </w:pPr>
            <w:r>
              <w:t>550</w:t>
            </w:r>
          </w:p>
        </w:tc>
        <w:tc>
          <w:tcPr>
            <w:tcW w:w="541" w:type="pct"/>
            <w:noWrap/>
            <w:vAlign w:val="center"/>
          </w:tcPr>
          <w:p w14:paraId="3AF5DDFC">
            <w:pPr>
              <w:autoSpaceDE w:val="0"/>
              <w:spacing w:line="240" w:lineRule="auto"/>
              <w:jc w:val="center"/>
            </w:pPr>
            <w:r>
              <w:t>540</w:t>
            </w:r>
          </w:p>
        </w:tc>
      </w:tr>
      <w:tr w14:paraId="515F0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restart"/>
            <w:noWrap/>
            <w:vAlign w:val="center"/>
          </w:tcPr>
          <w:p w14:paraId="32B26D9F">
            <w:pPr>
              <w:autoSpaceDE w:val="0"/>
              <w:spacing w:line="240" w:lineRule="auto"/>
              <w:jc w:val="center"/>
            </w:pPr>
            <w:r>
              <w:t>5</w:t>
            </w:r>
          </w:p>
        </w:tc>
        <w:tc>
          <w:tcPr>
            <w:tcW w:w="1268" w:type="pct"/>
            <w:vMerge w:val="restart"/>
            <w:noWrap/>
            <w:vAlign w:val="center"/>
          </w:tcPr>
          <w:p w14:paraId="02242CD4">
            <w:pPr>
              <w:autoSpaceDE w:val="0"/>
              <w:spacing w:line="240" w:lineRule="auto"/>
              <w:jc w:val="center"/>
            </w:pPr>
            <w:r>
              <w:t>50</w:t>
            </w:r>
          </w:p>
        </w:tc>
        <w:tc>
          <w:tcPr>
            <w:tcW w:w="1147" w:type="pct"/>
            <w:noWrap/>
            <w:vAlign w:val="center"/>
          </w:tcPr>
          <w:p w14:paraId="40D8801B">
            <w:pPr>
              <w:autoSpaceDE w:val="0"/>
              <w:spacing w:line="240" w:lineRule="auto"/>
              <w:jc w:val="center"/>
            </w:pPr>
            <w:r>
              <w:rPr>
                <w:rFonts w:hint="eastAsia" w:cs="宋体"/>
              </w:rPr>
              <w:t>原灰</w:t>
            </w:r>
          </w:p>
        </w:tc>
        <w:tc>
          <w:tcPr>
            <w:tcW w:w="541" w:type="pct"/>
            <w:noWrap/>
            <w:vAlign w:val="center"/>
          </w:tcPr>
          <w:p w14:paraId="4CB76367">
            <w:pPr>
              <w:autoSpaceDE w:val="0"/>
              <w:spacing w:line="240" w:lineRule="auto"/>
              <w:jc w:val="center"/>
            </w:pPr>
            <w:r>
              <w:t>220</w:t>
            </w:r>
          </w:p>
        </w:tc>
        <w:tc>
          <w:tcPr>
            <w:tcW w:w="541" w:type="pct"/>
            <w:noWrap/>
            <w:vAlign w:val="center"/>
          </w:tcPr>
          <w:p w14:paraId="326D3DDC">
            <w:pPr>
              <w:autoSpaceDE w:val="0"/>
              <w:spacing w:line="240" w:lineRule="auto"/>
              <w:jc w:val="center"/>
            </w:pPr>
            <w:r>
              <w:t>225</w:t>
            </w:r>
          </w:p>
        </w:tc>
        <w:tc>
          <w:tcPr>
            <w:tcW w:w="541" w:type="pct"/>
            <w:noWrap/>
            <w:vAlign w:val="center"/>
          </w:tcPr>
          <w:p w14:paraId="23EAF9CA">
            <w:pPr>
              <w:autoSpaceDE w:val="0"/>
              <w:spacing w:line="240" w:lineRule="auto"/>
              <w:jc w:val="center"/>
            </w:pPr>
            <w:r>
              <w:t>485</w:t>
            </w:r>
          </w:p>
        </w:tc>
        <w:tc>
          <w:tcPr>
            <w:tcW w:w="541" w:type="pct"/>
            <w:noWrap/>
            <w:vAlign w:val="center"/>
          </w:tcPr>
          <w:p w14:paraId="087D7E32">
            <w:pPr>
              <w:autoSpaceDE w:val="0"/>
              <w:spacing w:line="240" w:lineRule="auto"/>
              <w:jc w:val="center"/>
            </w:pPr>
            <w:r>
              <w:t>525</w:t>
            </w:r>
          </w:p>
        </w:tc>
      </w:tr>
      <w:tr w14:paraId="6F37B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continue"/>
            <w:vAlign w:val="center"/>
          </w:tcPr>
          <w:p w14:paraId="458566C6">
            <w:pPr>
              <w:spacing w:line="240" w:lineRule="auto"/>
              <w:jc w:val="center"/>
              <w:rPr>
                <w:sz w:val="21"/>
                <w:szCs w:val="21"/>
              </w:rPr>
            </w:pPr>
          </w:p>
        </w:tc>
        <w:tc>
          <w:tcPr>
            <w:tcW w:w="1268" w:type="pct"/>
            <w:vMerge w:val="continue"/>
            <w:vAlign w:val="center"/>
          </w:tcPr>
          <w:p w14:paraId="29C48D1A">
            <w:pPr>
              <w:spacing w:line="240" w:lineRule="auto"/>
              <w:jc w:val="center"/>
              <w:rPr>
                <w:sz w:val="21"/>
                <w:szCs w:val="21"/>
              </w:rPr>
            </w:pPr>
          </w:p>
        </w:tc>
        <w:tc>
          <w:tcPr>
            <w:tcW w:w="1147" w:type="pct"/>
            <w:noWrap/>
            <w:vAlign w:val="center"/>
          </w:tcPr>
          <w:p w14:paraId="7465E9BF">
            <w:pPr>
              <w:autoSpaceDE w:val="0"/>
              <w:spacing w:line="240" w:lineRule="auto"/>
              <w:jc w:val="center"/>
            </w:pPr>
            <w:r>
              <w:t>Ⅱ</w:t>
            </w:r>
            <w:r>
              <w:rPr>
                <w:rFonts w:hint="eastAsia" w:cs="宋体"/>
              </w:rPr>
              <w:t>级粉煤灰</w:t>
            </w:r>
          </w:p>
        </w:tc>
        <w:tc>
          <w:tcPr>
            <w:tcW w:w="541" w:type="pct"/>
            <w:noWrap/>
            <w:vAlign w:val="center"/>
          </w:tcPr>
          <w:p w14:paraId="04C53349">
            <w:pPr>
              <w:autoSpaceDE w:val="0"/>
              <w:spacing w:line="240" w:lineRule="auto"/>
              <w:jc w:val="center"/>
            </w:pPr>
            <w:r>
              <w:t>220</w:t>
            </w:r>
          </w:p>
        </w:tc>
        <w:tc>
          <w:tcPr>
            <w:tcW w:w="541" w:type="pct"/>
            <w:noWrap/>
            <w:vAlign w:val="center"/>
          </w:tcPr>
          <w:p w14:paraId="1C4D2467">
            <w:pPr>
              <w:autoSpaceDE w:val="0"/>
              <w:spacing w:line="240" w:lineRule="auto"/>
              <w:jc w:val="center"/>
            </w:pPr>
            <w:r>
              <w:t>230</w:t>
            </w:r>
          </w:p>
        </w:tc>
        <w:tc>
          <w:tcPr>
            <w:tcW w:w="541" w:type="pct"/>
            <w:noWrap/>
            <w:vAlign w:val="center"/>
          </w:tcPr>
          <w:p w14:paraId="567A55B0">
            <w:pPr>
              <w:autoSpaceDE w:val="0"/>
              <w:spacing w:line="240" w:lineRule="auto"/>
              <w:jc w:val="center"/>
            </w:pPr>
            <w:r>
              <w:t>480</w:t>
            </w:r>
          </w:p>
        </w:tc>
        <w:tc>
          <w:tcPr>
            <w:tcW w:w="541" w:type="pct"/>
            <w:noWrap/>
            <w:vAlign w:val="center"/>
          </w:tcPr>
          <w:p w14:paraId="2E362BB6">
            <w:pPr>
              <w:autoSpaceDE w:val="0"/>
              <w:spacing w:line="240" w:lineRule="auto"/>
              <w:jc w:val="center"/>
            </w:pPr>
            <w:r>
              <w:t>530</w:t>
            </w:r>
          </w:p>
        </w:tc>
      </w:tr>
      <w:tr w14:paraId="0C5BD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1" w:type="pct"/>
            <w:vMerge w:val="continue"/>
            <w:vAlign w:val="center"/>
          </w:tcPr>
          <w:p w14:paraId="47B6F969">
            <w:pPr>
              <w:spacing w:line="240" w:lineRule="auto"/>
              <w:jc w:val="center"/>
              <w:rPr>
                <w:sz w:val="21"/>
                <w:szCs w:val="21"/>
              </w:rPr>
            </w:pPr>
          </w:p>
        </w:tc>
        <w:tc>
          <w:tcPr>
            <w:tcW w:w="1268" w:type="pct"/>
            <w:vMerge w:val="continue"/>
            <w:vAlign w:val="center"/>
          </w:tcPr>
          <w:p w14:paraId="518B0763">
            <w:pPr>
              <w:spacing w:line="240" w:lineRule="auto"/>
              <w:jc w:val="center"/>
              <w:rPr>
                <w:sz w:val="21"/>
                <w:szCs w:val="21"/>
              </w:rPr>
            </w:pPr>
          </w:p>
        </w:tc>
        <w:tc>
          <w:tcPr>
            <w:tcW w:w="1147" w:type="pct"/>
            <w:noWrap/>
            <w:vAlign w:val="center"/>
          </w:tcPr>
          <w:p w14:paraId="5DA73D6D">
            <w:pPr>
              <w:autoSpaceDE w:val="0"/>
              <w:spacing w:line="240" w:lineRule="auto"/>
              <w:jc w:val="center"/>
            </w:pPr>
            <w:r>
              <w:rPr>
                <w:rFonts w:hint="eastAsia" w:cs="宋体"/>
              </w:rPr>
              <w:t>物理改性粉煤灰</w:t>
            </w:r>
          </w:p>
        </w:tc>
        <w:tc>
          <w:tcPr>
            <w:tcW w:w="541" w:type="pct"/>
            <w:noWrap/>
            <w:vAlign w:val="center"/>
          </w:tcPr>
          <w:p w14:paraId="73EC5DFB">
            <w:pPr>
              <w:autoSpaceDE w:val="0"/>
              <w:spacing w:line="240" w:lineRule="auto"/>
              <w:jc w:val="center"/>
            </w:pPr>
            <w:r>
              <w:t>220</w:t>
            </w:r>
          </w:p>
        </w:tc>
        <w:tc>
          <w:tcPr>
            <w:tcW w:w="541" w:type="pct"/>
            <w:noWrap/>
            <w:vAlign w:val="center"/>
          </w:tcPr>
          <w:p w14:paraId="4DDE48CA">
            <w:pPr>
              <w:autoSpaceDE w:val="0"/>
              <w:spacing w:line="240" w:lineRule="auto"/>
              <w:jc w:val="center"/>
            </w:pPr>
            <w:r>
              <w:t>240</w:t>
            </w:r>
          </w:p>
        </w:tc>
        <w:tc>
          <w:tcPr>
            <w:tcW w:w="541" w:type="pct"/>
            <w:noWrap/>
            <w:vAlign w:val="center"/>
          </w:tcPr>
          <w:p w14:paraId="639B48B8">
            <w:pPr>
              <w:autoSpaceDE w:val="0"/>
              <w:spacing w:line="240" w:lineRule="auto"/>
              <w:jc w:val="center"/>
            </w:pPr>
            <w:r>
              <w:t>540</w:t>
            </w:r>
          </w:p>
        </w:tc>
        <w:tc>
          <w:tcPr>
            <w:tcW w:w="541" w:type="pct"/>
            <w:noWrap/>
            <w:vAlign w:val="center"/>
          </w:tcPr>
          <w:p w14:paraId="5741A4CB">
            <w:pPr>
              <w:autoSpaceDE w:val="0"/>
              <w:spacing w:line="240" w:lineRule="auto"/>
              <w:jc w:val="center"/>
            </w:pPr>
            <w:r>
              <w:t>580</w:t>
            </w:r>
          </w:p>
        </w:tc>
      </w:tr>
    </w:tbl>
    <w:p w14:paraId="39CB6BC5">
      <w:pPr>
        <w:ind w:firstLine="480" w:firstLineChars="200"/>
      </w:pPr>
      <w:r>
        <w:rPr>
          <w:rFonts w:hint="eastAsia" w:cs="宋体"/>
        </w:rPr>
        <w:t>综述，随着粉煤灰掺量从</w:t>
      </w:r>
      <w:r>
        <w:t>10%</w:t>
      </w:r>
      <w:r>
        <w:rPr>
          <w:rFonts w:hint="eastAsia" w:cs="宋体"/>
        </w:rPr>
        <w:t>、</w:t>
      </w:r>
      <w:r>
        <w:t>20%</w:t>
      </w:r>
      <w:r>
        <w:rPr>
          <w:rFonts w:hint="eastAsia" w:cs="宋体"/>
        </w:rPr>
        <w:t>、</w:t>
      </w:r>
      <w:r>
        <w:t>30%</w:t>
      </w:r>
      <w:r>
        <w:rPr>
          <w:rFonts w:hint="eastAsia" w:cs="宋体"/>
        </w:rPr>
        <w:t>、</w:t>
      </w:r>
      <w:r>
        <w:t>40%</w:t>
      </w:r>
      <w:r>
        <w:rPr>
          <w:rFonts w:hint="eastAsia" w:cs="宋体"/>
        </w:rPr>
        <w:t>、</w:t>
      </w:r>
      <w:r>
        <w:t>50%</w:t>
      </w:r>
      <w:r>
        <w:rPr>
          <w:rFonts w:hint="eastAsia" w:cs="宋体"/>
        </w:rPr>
        <w:t>逐级提高，原灰和物理改性粉煤灰的</w:t>
      </w:r>
      <w:r>
        <w:t>7</w:t>
      </w:r>
      <w:r>
        <w:rPr>
          <w:rFonts w:hint="eastAsia" w:cs="宋体"/>
        </w:rPr>
        <w:t>天、</w:t>
      </w:r>
      <w:r>
        <w:t>28</w:t>
      </w:r>
      <w:r>
        <w:rPr>
          <w:rFonts w:hint="eastAsia" w:cs="宋体"/>
        </w:rPr>
        <w:t>天和</w:t>
      </w:r>
      <w:r>
        <w:t>56</w:t>
      </w:r>
      <w:r>
        <w:rPr>
          <w:rFonts w:hint="eastAsia" w:cs="宋体"/>
        </w:rPr>
        <w:t>天的强度逐级下降。但是物理改性粉煤灰下降幅度比原灰小，在同掺量情况下，物理改性粉煤灰强度大于原灰和</w:t>
      </w:r>
      <w:r>
        <w:t>Ⅱ</w:t>
      </w:r>
      <w:r>
        <w:rPr>
          <w:rFonts w:hint="eastAsia" w:cs="宋体"/>
        </w:rPr>
        <w:t>级粉煤灰，同时在坍落度和扩展度方面，物理改性粉煤灰大于原灰和</w:t>
      </w:r>
      <w:r>
        <w:t>Ⅱ</w:t>
      </w:r>
      <w:r>
        <w:rPr>
          <w:rFonts w:hint="eastAsia" w:cs="宋体"/>
        </w:rPr>
        <w:t>级粉煤灰。</w:t>
      </w:r>
    </w:p>
    <w:p w14:paraId="1078D22D">
      <w:pPr>
        <w:ind w:firstLine="480" w:firstLineChars="200"/>
      </w:pPr>
      <w:r>
        <w:rPr>
          <w:rFonts w:hint="eastAsia" w:cs="宋体"/>
        </w:rPr>
        <w:t>物理改性粉煤灰改善混凝土工作性，提高混凝土强度，可提高粉煤灰在混凝土中掺量，降低外加剂用量。</w:t>
      </w:r>
    </w:p>
    <w:p w14:paraId="249B21DB">
      <w:pPr>
        <w:pStyle w:val="37"/>
        <w:numPr>
          <w:ilvl w:val="2"/>
          <w:numId w:val="2"/>
        </w:numPr>
        <w:ind w:firstLine="482" w:firstLineChars="200"/>
        <w:outlineLvl w:val="2"/>
        <w:rPr>
          <w:b/>
          <w:bCs/>
          <w:highlight w:val="cyan"/>
        </w:rPr>
      </w:pPr>
      <w:r>
        <w:rPr>
          <w:b/>
          <w:bCs/>
          <w:highlight w:val="cyan"/>
        </w:rPr>
        <w:t>实际生产应用情况调研</w:t>
      </w:r>
      <w:r>
        <w:rPr>
          <w:rFonts w:hint="eastAsia"/>
          <w:b/>
          <w:bCs/>
          <w:highlight w:val="cyan"/>
        </w:rPr>
        <w:t>（目前只有应用情况）</w:t>
      </w:r>
    </w:p>
    <w:p w14:paraId="55CC2EEA">
      <w:pPr>
        <w:ind w:firstLine="480" w:firstLineChars="200"/>
        <w:rPr>
          <w:rFonts w:cs="宋体"/>
        </w:rPr>
      </w:pPr>
      <w:r>
        <w:rPr>
          <w:rFonts w:hint="eastAsia" w:cs="宋体"/>
        </w:rPr>
        <w:t>物理改性粉煤灰与原状粗灰相比，长径比降低，圆形度提高，细度和需水量比明显降低，28d强度活性指数提高，具有广泛的应用前景。</w:t>
      </w:r>
    </w:p>
    <w:p w14:paraId="55380379">
      <w:pPr>
        <w:rPr>
          <w:rFonts w:hint="eastAsia"/>
        </w:rPr>
      </w:pPr>
      <w:r>
        <w:rPr>
          <w:rFonts w:hint="eastAsia"/>
        </w:rPr>
        <w:br w:type="page"/>
      </w:r>
    </w:p>
    <w:p w14:paraId="1530A772">
      <w:pPr>
        <w:autoSpaceDE w:val="0"/>
        <w:jc w:val="center"/>
      </w:pPr>
      <w:r>
        <w:rPr>
          <w:rFonts w:hint="eastAsia"/>
        </w:rPr>
        <w:t>表</w:t>
      </w:r>
      <w:r>
        <w:fldChar w:fldCharType="begin"/>
      </w:r>
      <w:r>
        <w:instrText xml:space="preserve"> </w:instrText>
      </w:r>
      <w:r>
        <w:rPr>
          <w:rFonts w:hint="eastAsia"/>
        </w:rPr>
        <w:instrText xml:space="preserve">SEQ 表 \* ARABIC</w:instrText>
      </w:r>
      <w:r>
        <w:instrText xml:space="preserve"> </w:instrText>
      </w:r>
      <w:r>
        <w:fldChar w:fldCharType="separate"/>
      </w:r>
      <w:r>
        <w:t>17</w:t>
      </w:r>
      <w:r>
        <w:fldChar w:fldCharType="end"/>
      </w:r>
      <w:r>
        <w:rPr>
          <w:rFonts w:hint="eastAsia"/>
        </w:rPr>
        <w:t xml:space="preserve"> 主要应用单位情况表</w:t>
      </w:r>
    </w:p>
    <w:tbl>
      <w:tblPr>
        <w:tblStyle w:val="19"/>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01"/>
        <w:gridCol w:w="1593"/>
        <w:gridCol w:w="2457"/>
        <w:gridCol w:w="3871"/>
      </w:tblGrid>
      <w:tr w14:paraId="5B8F12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445" w:type="pct"/>
            <w:tcBorders>
              <w:top w:val="single" w:color="000000" w:sz="4" w:space="0"/>
              <w:left w:val="single" w:color="000000" w:sz="4" w:space="0"/>
              <w:bottom w:val="single" w:color="000000" w:sz="4" w:space="0"/>
              <w:right w:val="single" w:color="000000" w:sz="4" w:space="0"/>
            </w:tcBorders>
            <w:vAlign w:val="center"/>
          </w:tcPr>
          <w:p w14:paraId="4ED7B354">
            <w:pPr>
              <w:pStyle w:val="37"/>
              <w:spacing w:line="240" w:lineRule="auto"/>
              <w:ind w:left="0"/>
              <w:jc w:val="center"/>
            </w:pPr>
            <w:r>
              <w:rPr>
                <w:rFonts w:hint="eastAsia"/>
              </w:rPr>
              <w:t>序号</w:t>
            </w:r>
          </w:p>
        </w:tc>
        <w:tc>
          <w:tcPr>
            <w:tcW w:w="1027" w:type="pct"/>
            <w:tcBorders>
              <w:top w:val="single" w:color="000000" w:sz="4" w:space="0"/>
              <w:left w:val="single" w:color="000000" w:sz="4" w:space="0"/>
              <w:bottom w:val="single" w:color="000000" w:sz="4" w:space="0"/>
              <w:right w:val="single" w:color="000000" w:sz="4" w:space="0"/>
            </w:tcBorders>
            <w:vAlign w:val="center"/>
          </w:tcPr>
          <w:p w14:paraId="3A712DA3">
            <w:pPr>
              <w:pStyle w:val="37"/>
              <w:spacing w:line="240" w:lineRule="auto"/>
              <w:ind w:left="0"/>
              <w:jc w:val="center"/>
            </w:pPr>
            <w:r>
              <w:t>应用单位名称</w:t>
            </w:r>
          </w:p>
        </w:tc>
        <w:tc>
          <w:tcPr>
            <w:tcW w:w="1165" w:type="pct"/>
            <w:tcBorders>
              <w:top w:val="single" w:color="000000" w:sz="4" w:space="0"/>
              <w:left w:val="single" w:color="000000" w:sz="4" w:space="0"/>
              <w:bottom w:val="single" w:color="000000" w:sz="4" w:space="0"/>
              <w:right w:val="single" w:color="000000" w:sz="4" w:space="0"/>
            </w:tcBorders>
            <w:vAlign w:val="center"/>
          </w:tcPr>
          <w:p w14:paraId="051C208C">
            <w:pPr>
              <w:pStyle w:val="37"/>
              <w:spacing w:line="240" w:lineRule="auto"/>
              <w:ind w:left="0"/>
              <w:jc w:val="center"/>
            </w:pPr>
            <w:r>
              <w:t>应用的起止时间</w:t>
            </w:r>
          </w:p>
        </w:tc>
        <w:tc>
          <w:tcPr>
            <w:tcW w:w="2363" w:type="pct"/>
            <w:tcBorders>
              <w:top w:val="single" w:color="000000" w:sz="4" w:space="0"/>
              <w:left w:val="single" w:color="000000" w:sz="4" w:space="0"/>
              <w:bottom w:val="single" w:color="000000" w:sz="4" w:space="0"/>
              <w:right w:val="single" w:color="000000" w:sz="4" w:space="0"/>
            </w:tcBorders>
            <w:vAlign w:val="center"/>
          </w:tcPr>
          <w:p w14:paraId="1A020BE5">
            <w:pPr>
              <w:pStyle w:val="37"/>
              <w:spacing w:line="240" w:lineRule="auto"/>
              <w:ind w:left="0"/>
              <w:jc w:val="center"/>
            </w:pPr>
            <w:r>
              <w:t>经济、社会效益</w:t>
            </w:r>
          </w:p>
        </w:tc>
      </w:tr>
      <w:tr w14:paraId="3C6AB2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45" w:type="pct"/>
            <w:tcBorders>
              <w:top w:val="single" w:color="000000" w:sz="4" w:space="0"/>
              <w:left w:val="single" w:color="000000" w:sz="4" w:space="0"/>
              <w:bottom w:val="single" w:color="000000" w:sz="4" w:space="0"/>
              <w:right w:val="single" w:color="000000" w:sz="4" w:space="0"/>
            </w:tcBorders>
            <w:vAlign w:val="center"/>
          </w:tcPr>
          <w:p w14:paraId="6D161441">
            <w:pPr>
              <w:pStyle w:val="37"/>
              <w:spacing w:line="240" w:lineRule="auto"/>
              <w:ind w:left="0"/>
              <w:jc w:val="center"/>
            </w:pPr>
            <w:r>
              <w:rPr>
                <w:rFonts w:hint="eastAsia"/>
              </w:rPr>
              <w:t>1</w:t>
            </w:r>
          </w:p>
        </w:tc>
        <w:tc>
          <w:tcPr>
            <w:tcW w:w="1027" w:type="pct"/>
            <w:tcBorders>
              <w:top w:val="single" w:color="000000" w:sz="4" w:space="0"/>
              <w:left w:val="single" w:color="000000" w:sz="4" w:space="0"/>
              <w:bottom w:val="single" w:color="000000" w:sz="4" w:space="0"/>
              <w:right w:val="single" w:color="000000" w:sz="4" w:space="0"/>
            </w:tcBorders>
            <w:vAlign w:val="center"/>
          </w:tcPr>
          <w:p w14:paraId="1ABD0F94">
            <w:pPr>
              <w:pStyle w:val="37"/>
              <w:spacing w:line="240" w:lineRule="auto"/>
              <w:ind w:left="0"/>
              <w:jc w:val="center"/>
            </w:pPr>
            <w:r>
              <w:t>福能新材（泉州）有限公司</w:t>
            </w:r>
          </w:p>
        </w:tc>
        <w:tc>
          <w:tcPr>
            <w:tcW w:w="1165" w:type="pct"/>
            <w:tcBorders>
              <w:top w:val="single" w:color="000000" w:sz="4" w:space="0"/>
              <w:left w:val="single" w:color="000000" w:sz="4" w:space="0"/>
              <w:bottom w:val="single" w:color="000000" w:sz="4" w:space="0"/>
              <w:right w:val="single" w:color="000000" w:sz="4" w:space="0"/>
            </w:tcBorders>
            <w:vAlign w:val="center"/>
          </w:tcPr>
          <w:p w14:paraId="67E7FD7A">
            <w:pPr>
              <w:pStyle w:val="37"/>
              <w:spacing w:line="240" w:lineRule="auto"/>
              <w:ind w:left="0"/>
              <w:jc w:val="center"/>
            </w:pPr>
            <w:r>
              <w:t>2020.12至今</w:t>
            </w:r>
          </w:p>
        </w:tc>
        <w:tc>
          <w:tcPr>
            <w:tcW w:w="2363" w:type="pct"/>
            <w:tcBorders>
              <w:top w:val="single" w:color="000000" w:sz="4" w:space="0"/>
              <w:left w:val="single" w:color="000000" w:sz="4" w:space="0"/>
              <w:bottom w:val="single" w:color="000000" w:sz="4" w:space="0"/>
              <w:right w:val="single" w:color="000000" w:sz="4" w:space="0"/>
            </w:tcBorders>
            <w:vAlign w:val="center"/>
          </w:tcPr>
          <w:p w14:paraId="3692E512">
            <w:pPr>
              <w:pStyle w:val="37"/>
              <w:spacing w:line="240" w:lineRule="auto"/>
              <w:ind w:left="0"/>
            </w:pPr>
            <w:r>
              <w:rPr>
                <w:rFonts w:hint="eastAsia"/>
              </w:rPr>
              <w:t>项目处理加工粉煤灰约</w:t>
            </w:r>
            <w:r>
              <w:t>30</w:t>
            </w:r>
            <w:r>
              <w:rPr>
                <w:rFonts w:hint="eastAsia"/>
              </w:rPr>
              <w:t>万吨，新增产值约2</w:t>
            </w:r>
            <w:r>
              <w:t>700</w:t>
            </w:r>
            <w:r>
              <w:rPr>
                <w:rFonts w:hint="eastAsia"/>
              </w:rPr>
              <w:t>万元，减少能耗2×10</w:t>
            </w:r>
            <w:r>
              <w:rPr>
                <w:vertAlign w:val="superscript"/>
              </w:rPr>
              <w:t>9</w:t>
            </w:r>
            <w:r>
              <w:rPr>
                <w:rFonts w:hint="eastAsia"/>
              </w:rPr>
              <w:t>kJ，节约标煤7万吨。</w:t>
            </w:r>
          </w:p>
        </w:tc>
      </w:tr>
      <w:tr w14:paraId="6245FF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45" w:type="pct"/>
            <w:tcBorders>
              <w:top w:val="single" w:color="000000" w:sz="4" w:space="0"/>
              <w:left w:val="single" w:color="000000" w:sz="4" w:space="0"/>
              <w:bottom w:val="single" w:color="000000" w:sz="4" w:space="0"/>
              <w:right w:val="single" w:color="000000" w:sz="4" w:space="0"/>
            </w:tcBorders>
            <w:vAlign w:val="center"/>
          </w:tcPr>
          <w:p w14:paraId="3023B16F">
            <w:pPr>
              <w:pStyle w:val="37"/>
              <w:spacing w:line="240" w:lineRule="auto"/>
              <w:ind w:left="0"/>
              <w:jc w:val="center"/>
            </w:pPr>
            <w:r>
              <w:rPr>
                <w:rFonts w:hint="eastAsia"/>
              </w:rPr>
              <w:t>2</w:t>
            </w:r>
          </w:p>
        </w:tc>
        <w:tc>
          <w:tcPr>
            <w:tcW w:w="1027" w:type="pct"/>
            <w:tcBorders>
              <w:top w:val="single" w:color="000000" w:sz="4" w:space="0"/>
              <w:left w:val="single" w:color="000000" w:sz="4" w:space="0"/>
              <w:bottom w:val="single" w:color="000000" w:sz="4" w:space="0"/>
              <w:right w:val="single" w:color="000000" w:sz="4" w:space="0"/>
            </w:tcBorders>
            <w:vAlign w:val="center"/>
          </w:tcPr>
          <w:p w14:paraId="643DF770">
            <w:pPr>
              <w:pStyle w:val="37"/>
              <w:spacing w:line="240" w:lineRule="auto"/>
              <w:ind w:left="0"/>
              <w:jc w:val="center"/>
            </w:pPr>
            <w:r>
              <w:t>宁夏建材集团股份有限公司</w:t>
            </w:r>
          </w:p>
        </w:tc>
        <w:tc>
          <w:tcPr>
            <w:tcW w:w="1165" w:type="pct"/>
            <w:tcBorders>
              <w:top w:val="single" w:color="000000" w:sz="4" w:space="0"/>
              <w:left w:val="single" w:color="000000" w:sz="4" w:space="0"/>
              <w:bottom w:val="single" w:color="000000" w:sz="4" w:space="0"/>
              <w:right w:val="single" w:color="000000" w:sz="4" w:space="0"/>
            </w:tcBorders>
            <w:vAlign w:val="center"/>
          </w:tcPr>
          <w:p w14:paraId="192667E1">
            <w:pPr>
              <w:pStyle w:val="37"/>
              <w:spacing w:line="240" w:lineRule="auto"/>
              <w:ind w:left="0"/>
              <w:jc w:val="center"/>
            </w:pPr>
            <w:r>
              <w:t>2021.10至今</w:t>
            </w:r>
          </w:p>
        </w:tc>
        <w:tc>
          <w:tcPr>
            <w:tcW w:w="2363" w:type="pct"/>
            <w:tcBorders>
              <w:top w:val="single" w:color="000000" w:sz="4" w:space="0"/>
              <w:left w:val="single" w:color="000000" w:sz="4" w:space="0"/>
              <w:bottom w:val="single" w:color="000000" w:sz="4" w:space="0"/>
              <w:right w:val="single" w:color="000000" w:sz="4" w:space="0"/>
            </w:tcBorders>
            <w:vAlign w:val="center"/>
          </w:tcPr>
          <w:p w14:paraId="53DD0CEF">
            <w:pPr>
              <w:pStyle w:val="37"/>
              <w:spacing w:line="240" w:lineRule="auto"/>
              <w:ind w:left="0"/>
            </w:pPr>
            <w:r>
              <w:rPr>
                <w:rFonts w:hint="eastAsia"/>
              </w:rPr>
              <w:t>项目处理加工粉煤灰约</w:t>
            </w:r>
            <w:r>
              <w:t>30</w:t>
            </w:r>
            <w:r>
              <w:rPr>
                <w:rFonts w:hint="eastAsia"/>
              </w:rPr>
              <w:t>万吨，产生直接和间接经济效益超过</w:t>
            </w:r>
            <w:r>
              <w:t>2000</w:t>
            </w:r>
            <w:r>
              <w:rPr>
                <w:rFonts w:hint="eastAsia"/>
              </w:rPr>
              <w:t>万元，减少排放二氧化碳5</w:t>
            </w:r>
            <w:r>
              <w:t>0</w:t>
            </w:r>
            <w:r>
              <w:rPr>
                <w:rFonts w:hint="eastAsia"/>
              </w:rPr>
              <w:t>万吨。</w:t>
            </w:r>
          </w:p>
        </w:tc>
      </w:tr>
      <w:tr w14:paraId="6EDC56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45" w:type="pct"/>
            <w:tcBorders>
              <w:top w:val="single" w:color="000000" w:sz="4" w:space="0"/>
              <w:left w:val="single" w:color="000000" w:sz="4" w:space="0"/>
              <w:bottom w:val="single" w:color="000000" w:sz="4" w:space="0"/>
              <w:right w:val="single" w:color="000000" w:sz="4" w:space="0"/>
            </w:tcBorders>
            <w:vAlign w:val="center"/>
          </w:tcPr>
          <w:p w14:paraId="05580D50">
            <w:pPr>
              <w:pStyle w:val="37"/>
              <w:spacing w:line="240" w:lineRule="auto"/>
              <w:ind w:left="0"/>
              <w:jc w:val="center"/>
            </w:pPr>
            <w:r>
              <w:rPr>
                <w:rFonts w:hint="eastAsia"/>
              </w:rPr>
              <w:t>3</w:t>
            </w:r>
          </w:p>
        </w:tc>
        <w:tc>
          <w:tcPr>
            <w:tcW w:w="1027" w:type="pct"/>
            <w:tcBorders>
              <w:top w:val="single" w:color="000000" w:sz="4" w:space="0"/>
              <w:left w:val="single" w:color="000000" w:sz="4" w:space="0"/>
              <w:bottom w:val="single" w:color="000000" w:sz="4" w:space="0"/>
              <w:right w:val="single" w:color="000000" w:sz="4" w:space="0"/>
            </w:tcBorders>
            <w:vAlign w:val="center"/>
          </w:tcPr>
          <w:p w14:paraId="326685D9">
            <w:pPr>
              <w:pStyle w:val="37"/>
              <w:spacing w:line="240" w:lineRule="auto"/>
              <w:ind w:left="0"/>
              <w:jc w:val="center"/>
            </w:pPr>
            <w:r>
              <w:rPr>
                <w:rFonts w:hint="eastAsia"/>
              </w:rPr>
              <w:t>福建宏基混凝土有限公司</w:t>
            </w:r>
          </w:p>
        </w:tc>
        <w:tc>
          <w:tcPr>
            <w:tcW w:w="1165" w:type="pct"/>
            <w:tcBorders>
              <w:top w:val="single" w:color="000000" w:sz="4" w:space="0"/>
              <w:left w:val="single" w:color="000000" w:sz="4" w:space="0"/>
              <w:bottom w:val="single" w:color="000000" w:sz="4" w:space="0"/>
              <w:right w:val="single" w:color="000000" w:sz="4" w:space="0"/>
            </w:tcBorders>
            <w:vAlign w:val="center"/>
          </w:tcPr>
          <w:p w14:paraId="30401975">
            <w:pPr>
              <w:pStyle w:val="37"/>
              <w:spacing w:line="240" w:lineRule="auto"/>
              <w:ind w:left="0"/>
              <w:jc w:val="center"/>
            </w:pPr>
            <w:r>
              <w:rPr>
                <w:rFonts w:hint="eastAsia"/>
              </w:rPr>
              <w:t>2022.09至今</w:t>
            </w:r>
          </w:p>
        </w:tc>
        <w:tc>
          <w:tcPr>
            <w:tcW w:w="2363" w:type="pct"/>
            <w:tcBorders>
              <w:top w:val="single" w:color="000000" w:sz="4" w:space="0"/>
              <w:left w:val="single" w:color="000000" w:sz="4" w:space="0"/>
              <w:bottom w:val="single" w:color="000000" w:sz="4" w:space="0"/>
              <w:right w:val="single" w:color="000000" w:sz="4" w:space="0"/>
            </w:tcBorders>
            <w:vAlign w:val="center"/>
          </w:tcPr>
          <w:p w14:paraId="709DC004">
            <w:pPr>
              <w:pStyle w:val="37"/>
              <w:spacing w:line="240" w:lineRule="auto"/>
              <w:ind w:left="0"/>
            </w:pPr>
            <w:r>
              <w:rPr>
                <w:rFonts w:hint="eastAsia"/>
              </w:rPr>
              <w:t>本产品用于混凝土中能有效改善混凝土的工作性能，玻璃微珠保存较好，能够改善混凝土的流动性和密实度，经检测预拌混凝土各项性能指标均符合相关标准。</w:t>
            </w:r>
          </w:p>
        </w:tc>
      </w:tr>
      <w:tr w14:paraId="7B9335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45" w:type="pct"/>
            <w:tcBorders>
              <w:top w:val="single" w:color="000000" w:sz="4" w:space="0"/>
              <w:left w:val="single" w:color="000000" w:sz="4" w:space="0"/>
              <w:bottom w:val="single" w:color="000000" w:sz="4" w:space="0"/>
              <w:right w:val="single" w:color="000000" w:sz="4" w:space="0"/>
            </w:tcBorders>
            <w:vAlign w:val="center"/>
          </w:tcPr>
          <w:p w14:paraId="057013BD">
            <w:pPr>
              <w:pStyle w:val="37"/>
              <w:spacing w:line="240" w:lineRule="auto"/>
              <w:ind w:left="0"/>
              <w:jc w:val="center"/>
            </w:pPr>
            <w:r>
              <w:rPr>
                <w:rFonts w:hint="eastAsia"/>
              </w:rPr>
              <w:t>4</w:t>
            </w:r>
          </w:p>
        </w:tc>
        <w:tc>
          <w:tcPr>
            <w:tcW w:w="1027" w:type="pct"/>
            <w:tcBorders>
              <w:top w:val="single" w:color="000000" w:sz="4" w:space="0"/>
              <w:left w:val="single" w:color="000000" w:sz="4" w:space="0"/>
              <w:bottom w:val="single" w:color="000000" w:sz="4" w:space="0"/>
              <w:right w:val="single" w:color="000000" w:sz="4" w:space="0"/>
            </w:tcBorders>
            <w:vAlign w:val="center"/>
          </w:tcPr>
          <w:p w14:paraId="15F838C0">
            <w:pPr>
              <w:pStyle w:val="37"/>
              <w:spacing w:line="240" w:lineRule="auto"/>
              <w:ind w:left="0"/>
              <w:jc w:val="center"/>
            </w:pPr>
            <w:r>
              <w:rPr>
                <w:rFonts w:hint="eastAsia"/>
              </w:rPr>
              <w:t>泉州石狮兴邦混凝土有限公司</w:t>
            </w:r>
          </w:p>
        </w:tc>
        <w:tc>
          <w:tcPr>
            <w:tcW w:w="1165" w:type="pct"/>
            <w:tcBorders>
              <w:top w:val="single" w:color="000000" w:sz="4" w:space="0"/>
              <w:left w:val="single" w:color="000000" w:sz="4" w:space="0"/>
              <w:bottom w:val="single" w:color="000000" w:sz="4" w:space="0"/>
              <w:right w:val="single" w:color="000000" w:sz="4" w:space="0"/>
            </w:tcBorders>
            <w:vAlign w:val="center"/>
          </w:tcPr>
          <w:p w14:paraId="6B60E3D8">
            <w:pPr>
              <w:pStyle w:val="37"/>
              <w:spacing w:line="240" w:lineRule="auto"/>
              <w:ind w:left="0"/>
              <w:jc w:val="center"/>
            </w:pPr>
            <w:r>
              <w:rPr>
                <w:rFonts w:hint="eastAsia"/>
              </w:rPr>
              <w:t>2020.06至今</w:t>
            </w:r>
          </w:p>
        </w:tc>
        <w:tc>
          <w:tcPr>
            <w:tcW w:w="2363" w:type="pct"/>
            <w:tcBorders>
              <w:top w:val="single" w:color="000000" w:sz="4" w:space="0"/>
              <w:left w:val="single" w:color="000000" w:sz="4" w:space="0"/>
              <w:bottom w:val="single" w:color="000000" w:sz="4" w:space="0"/>
              <w:right w:val="single" w:color="000000" w:sz="4" w:space="0"/>
            </w:tcBorders>
            <w:vAlign w:val="center"/>
          </w:tcPr>
          <w:p w14:paraId="1F7F8EBA">
            <w:pPr>
              <w:pStyle w:val="37"/>
              <w:spacing w:line="240" w:lineRule="auto"/>
              <w:ind w:left="0"/>
            </w:pPr>
            <w:r>
              <w:rPr>
                <w:rFonts w:hint="eastAsia"/>
              </w:rPr>
              <w:t>本产品用于混凝土中能有效改善混凝土的工作性能，该产品的颗粒形貌分布合理，玻璃微珠保存较好，能够改善混凝土的流动性和密实度，凝结时间正常，混凝土的综合性有显著提升，经检测预拌混凝土各项性能指标均符合相关标准。</w:t>
            </w:r>
          </w:p>
        </w:tc>
      </w:tr>
      <w:tr w14:paraId="1FCB3B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45" w:type="pct"/>
            <w:tcBorders>
              <w:top w:val="single" w:color="000000" w:sz="4" w:space="0"/>
              <w:left w:val="single" w:color="000000" w:sz="4" w:space="0"/>
              <w:bottom w:val="single" w:color="000000" w:sz="4" w:space="0"/>
              <w:right w:val="single" w:color="000000" w:sz="4" w:space="0"/>
            </w:tcBorders>
            <w:vAlign w:val="center"/>
          </w:tcPr>
          <w:p w14:paraId="3EC97610">
            <w:pPr>
              <w:pStyle w:val="37"/>
              <w:spacing w:line="240" w:lineRule="auto"/>
              <w:ind w:left="0"/>
              <w:jc w:val="center"/>
            </w:pPr>
            <w:r>
              <w:rPr>
                <w:rFonts w:hint="eastAsia"/>
              </w:rPr>
              <w:t>5</w:t>
            </w:r>
          </w:p>
        </w:tc>
        <w:tc>
          <w:tcPr>
            <w:tcW w:w="1027" w:type="pct"/>
            <w:tcBorders>
              <w:top w:val="single" w:color="000000" w:sz="4" w:space="0"/>
              <w:left w:val="single" w:color="000000" w:sz="4" w:space="0"/>
              <w:bottom w:val="single" w:color="000000" w:sz="4" w:space="0"/>
              <w:right w:val="single" w:color="000000" w:sz="4" w:space="0"/>
            </w:tcBorders>
            <w:vAlign w:val="center"/>
          </w:tcPr>
          <w:p w14:paraId="100B3E1B">
            <w:pPr>
              <w:pStyle w:val="37"/>
              <w:spacing w:line="240" w:lineRule="auto"/>
              <w:ind w:left="0"/>
              <w:jc w:val="center"/>
            </w:pPr>
            <w:r>
              <w:rPr>
                <w:rFonts w:hint="eastAsia"/>
              </w:rPr>
              <w:t>青铜峡市亿科生物科技有限公司</w:t>
            </w:r>
          </w:p>
        </w:tc>
        <w:tc>
          <w:tcPr>
            <w:tcW w:w="1165" w:type="pct"/>
            <w:tcBorders>
              <w:top w:val="single" w:color="000000" w:sz="4" w:space="0"/>
              <w:left w:val="single" w:color="000000" w:sz="4" w:space="0"/>
              <w:bottom w:val="single" w:color="000000" w:sz="4" w:space="0"/>
              <w:right w:val="single" w:color="000000" w:sz="4" w:space="0"/>
            </w:tcBorders>
            <w:vAlign w:val="center"/>
          </w:tcPr>
          <w:p w14:paraId="172BD026">
            <w:pPr>
              <w:pStyle w:val="37"/>
              <w:spacing w:line="240" w:lineRule="auto"/>
              <w:ind w:left="0"/>
              <w:jc w:val="center"/>
            </w:pPr>
            <w:r>
              <w:rPr>
                <w:rFonts w:hint="eastAsia"/>
              </w:rPr>
              <w:t>2021.12.05-2023.06.15</w:t>
            </w:r>
          </w:p>
        </w:tc>
        <w:tc>
          <w:tcPr>
            <w:tcW w:w="2363" w:type="pct"/>
            <w:tcBorders>
              <w:top w:val="single" w:color="000000" w:sz="4" w:space="0"/>
              <w:left w:val="single" w:color="000000" w:sz="4" w:space="0"/>
              <w:bottom w:val="single" w:color="000000" w:sz="4" w:space="0"/>
              <w:right w:val="single" w:color="000000" w:sz="4" w:space="0"/>
            </w:tcBorders>
            <w:vAlign w:val="center"/>
          </w:tcPr>
          <w:p w14:paraId="650584F9">
            <w:pPr>
              <w:pStyle w:val="37"/>
              <w:spacing w:line="240" w:lineRule="auto"/>
              <w:ind w:left="0"/>
            </w:pPr>
            <w:r>
              <w:rPr>
                <w:rFonts w:hint="eastAsia"/>
              </w:rPr>
              <w:t>本成果已在宁东建立一条产业化生产线并实现连续运行。针对电厂风选剩余的原灰（45</w:t>
            </w:r>
            <w:r>
              <w:t>μ</w:t>
            </w:r>
            <w:r>
              <w:rPr>
                <w:rFonts w:hint="eastAsia"/>
              </w:rPr>
              <w:t>m筛余&lt;50%）可连续生产出合格的I级或II级粉煤灰，品质稳定。</w:t>
            </w:r>
          </w:p>
        </w:tc>
      </w:tr>
      <w:tr w14:paraId="448C5C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45" w:type="pct"/>
            <w:tcBorders>
              <w:top w:val="single" w:color="000000" w:sz="4" w:space="0"/>
              <w:left w:val="single" w:color="000000" w:sz="4" w:space="0"/>
              <w:bottom w:val="single" w:color="000000" w:sz="4" w:space="0"/>
              <w:right w:val="single" w:color="000000" w:sz="4" w:space="0"/>
            </w:tcBorders>
            <w:vAlign w:val="center"/>
          </w:tcPr>
          <w:p w14:paraId="428C816A">
            <w:pPr>
              <w:pStyle w:val="37"/>
              <w:spacing w:line="240" w:lineRule="auto"/>
              <w:ind w:left="0"/>
              <w:jc w:val="center"/>
            </w:pPr>
            <w:r>
              <w:rPr>
                <w:rFonts w:hint="eastAsia"/>
              </w:rPr>
              <w:t>6</w:t>
            </w:r>
          </w:p>
        </w:tc>
        <w:tc>
          <w:tcPr>
            <w:tcW w:w="1027" w:type="pct"/>
            <w:tcBorders>
              <w:top w:val="single" w:color="000000" w:sz="4" w:space="0"/>
              <w:left w:val="single" w:color="000000" w:sz="4" w:space="0"/>
              <w:bottom w:val="single" w:color="000000" w:sz="4" w:space="0"/>
              <w:right w:val="single" w:color="000000" w:sz="4" w:space="0"/>
            </w:tcBorders>
            <w:vAlign w:val="center"/>
          </w:tcPr>
          <w:p w14:paraId="75923799">
            <w:pPr>
              <w:pStyle w:val="37"/>
              <w:spacing w:line="240" w:lineRule="auto"/>
              <w:ind w:left="0"/>
              <w:jc w:val="center"/>
            </w:pPr>
            <w:r>
              <w:rPr>
                <w:rFonts w:hint="eastAsia"/>
              </w:rPr>
              <w:t>宁夏赛马水泥有限公司宁东分厂</w:t>
            </w:r>
          </w:p>
        </w:tc>
        <w:tc>
          <w:tcPr>
            <w:tcW w:w="1165" w:type="pct"/>
            <w:tcBorders>
              <w:top w:val="single" w:color="000000" w:sz="4" w:space="0"/>
              <w:left w:val="single" w:color="000000" w:sz="4" w:space="0"/>
              <w:bottom w:val="single" w:color="000000" w:sz="4" w:space="0"/>
              <w:right w:val="single" w:color="000000" w:sz="4" w:space="0"/>
            </w:tcBorders>
            <w:vAlign w:val="center"/>
          </w:tcPr>
          <w:p w14:paraId="17585E25">
            <w:pPr>
              <w:pStyle w:val="37"/>
              <w:spacing w:line="240" w:lineRule="auto"/>
              <w:ind w:left="0"/>
              <w:jc w:val="center"/>
            </w:pPr>
            <w:r>
              <w:rPr>
                <w:rFonts w:hint="eastAsia"/>
              </w:rPr>
              <w:t>2022.12.06-2023.06.15</w:t>
            </w:r>
          </w:p>
        </w:tc>
        <w:tc>
          <w:tcPr>
            <w:tcW w:w="2363" w:type="pct"/>
            <w:tcBorders>
              <w:top w:val="single" w:color="000000" w:sz="4" w:space="0"/>
              <w:left w:val="single" w:color="000000" w:sz="4" w:space="0"/>
              <w:bottom w:val="single" w:color="000000" w:sz="4" w:space="0"/>
              <w:right w:val="single" w:color="000000" w:sz="4" w:space="0"/>
            </w:tcBorders>
            <w:vAlign w:val="center"/>
          </w:tcPr>
          <w:p w14:paraId="5E24CAFE">
            <w:pPr>
              <w:pStyle w:val="37"/>
              <w:spacing w:line="240" w:lineRule="auto"/>
              <w:ind w:left="0"/>
            </w:pPr>
            <w:r>
              <w:rPr>
                <w:rFonts w:hint="eastAsia"/>
              </w:rPr>
              <w:t>本成果已在宁东建立一条产业化生产线并实现连续运行。计对电厂风选剩余的原灰（45</w:t>
            </w:r>
            <w:r>
              <w:t>μ</w:t>
            </w:r>
            <w:r>
              <w:rPr>
                <w:rFonts w:hint="eastAsia"/>
              </w:rPr>
              <w:t>m筛余＜50%）可连续生产出合格的I级或II级粉煤灰，品质稳定。</w:t>
            </w:r>
          </w:p>
        </w:tc>
      </w:tr>
      <w:tr w14:paraId="6AB2E7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45" w:type="pct"/>
            <w:tcBorders>
              <w:top w:val="single" w:color="000000" w:sz="4" w:space="0"/>
              <w:left w:val="single" w:color="000000" w:sz="4" w:space="0"/>
              <w:bottom w:val="single" w:color="000000" w:sz="4" w:space="0"/>
              <w:right w:val="single" w:color="000000" w:sz="4" w:space="0"/>
            </w:tcBorders>
            <w:vAlign w:val="center"/>
          </w:tcPr>
          <w:p w14:paraId="70DE9593">
            <w:pPr>
              <w:pStyle w:val="37"/>
              <w:spacing w:line="240" w:lineRule="auto"/>
              <w:ind w:left="0"/>
              <w:jc w:val="center"/>
            </w:pPr>
            <w:r>
              <w:rPr>
                <w:rFonts w:hint="eastAsia"/>
              </w:rPr>
              <w:t>7</w:t>
            </w:r>
          </w:p>
        </w:tc>
        <w:tc>
          <w:tcPr>
            <w:tcW w:w="1027" w:type="pct"/>
            <w:tcBorders>
              <w:top w:val="single" w:color="000000" w:sz="4" w:space="0"/>
              <w:left w:val="single" w:color="000000" w:sz="4" w:space="0"/>
              <w:bottom w:val="single" w:color="000000" w:sz="4" w:space="0"/>
              <w:right w:val="single" w:color="000000" w:sz="4" w:space="0"/>
            </w:tcBorders>
            <w:vAlign w:val="center"/>
          </w:tcPr>
          <w:p w14:paraId="57B50AA9">
            <w:pPr>
              <w:pStyle w:val="37"/>
              <w:spacing w:line="240" w:lineRule="auto"/>
              <w:ind w:left="0"/>
              <w:jc w:val="center"/>
            </w:pPr>
            <w:r>
              <w:rPr>
                <w:rFonts w:hint="eastAsia"/>
              </w:rPr>
              <w:t>宁夏赛马水泥有限公司宁东分厂</w:t>
            </w:r>
          </w:p>
        </w:tc>
        <w:tc>
          <w:tcPr>
            <w:tcW w:w="1165" w:type="pct"/>
            <w:tcBorders>
              <w:top w:val="single" w:color="000000" w:sz="4" w:space="0"/>
              <w:left w:val="single" w:color="000000" w:sz="4" w:space="0"/>
              <w:bottom w:val="single" w:color="000000" w:sz="4" w:space="0"/>
              <w:right w:val="single" w:color="000000" w:sz="4" w:space="0"/>
            </w:tcBorders>
            <w:vAlign w:val="center"/>
          </w:tcPr>
          <w:p w14:paraId="1EC71B5C">
            <w:pPr>
              <w:pStyle w:val="37"/>
              <w:spacing w:line="240" w:lineRule="auto"/>
              <w:ind w:left="0"/>
              <w:jc w:val="center"/>
            </w:pPr>
            <w:r>
              <w:rPr>
                <w:rFonts w:hint="eastAsia"/>
              </w:rPr>
              <w:t>2022.04至今</w:t>
            </w:r>
          </w:p>
        </w:tc>
        <w:tc>
          <w:tcPr>
            <w:tcW w:w="2363" w:type="pct"/>
            <w:tcBorders>
              <w:top w:val="single" w:color="000000" w:sz="4" w:space="0"/>
              <w:left w:val="single" w:color="000000" w:sz="4" w:space="0"/>
              <w:bottom w:val="single" w:color="000000" w:sz="4" w:space="0"/>
              <w:right w:val="single" w:color="000000" w:sz="4" w:space="0"/>
            </w:tcBorders>
            <w:vAlign w:val="center"/>
          </w:tcPr>
          <w:p w14:paraId="30EF62ED">
            <w:pPr>
              <w:pStyle w:val="37"/>
              <w:spacing w:line="240" w:lineRule="auto"/>
              <w:ind w:left="0"/>
            </w:pPr>
            <w:r>
              <w:rPr>
                <w:rFonts w:hint="eastAsia"/>
              </w:rPr>
              <w:t>经研磨整形后的粉煤灰颗粒形貌（长径比、圆形度）得到改善，需水量比降低，活性指数提高6-10%;用于商砼生产过程中替代了20%以上的水泥，减少混凝土中水泥的使用量，并提升了产品的稳定性。</w:t>
            </w:r>
          </w:p>
        </w:tc>
      </w:tr>
    </w:tbl>
    <w:p w14:paraId="5A310456">
      <w:pPr>
        <w:pStyle w:val="37"/>
        <w:numPr>
          <w:ilvl w:val="1"/>
          <w:numId w:val="2"/>
        </w:numPr>
        <w:ind w:firstLine="482" w:firstLineChars="200"/>
        <w:outlineLvl w:val="1"/>
        <w:rPr>
          <w:b/>
          <w:bCs/>
        </w:rPr>
      </w:pPr>
      <w:r>
        <w:rPr>
          <w:b/>
          <w:bCs/>
        </w:rPr>
        <w:t>主要工作过程</w:t>
      </w:r>
    </w:p>
    <w:p w14:paraId="60F66D36">
      <w:pPr>
        <w:pStyle w:val="37"/>
        <w:ind w:left="0" w:firstLine="480" w:firstLineChars="200"/>
      </w:pPr>
      <w:r>
        <w:t>本标准于2025年7月24日由中国建筑材料联合会批准立项，2025年11月6日由中国建筑材料联合会和厦门艾思欧标准砂有限公司组织，以视频会议的形式召开标准启动会暨第一次工作会议。厦门艾思欧标准砂有限公司介绍了立项背景、前期筹备和标准草案情况，各参会专家分别提出了各自的修改意见和建议，由厦门艾思欧标准砂有限公司统一进行验证修改。</w:t>
      </w:r>
    </w:p>
    <w:p w14:paraId="71858FE3">
      <w:pPr>
        <w:pStyle w:val="37"/>
        <w:numPr>
          <w:ilvl w:val="1"/>
          <w:numId w:val="2"/>
        </w:numPr>
        <w:ind w:firstLine="482" w:firstLineChars="200"/>
        <w:outlineLvl w:val="1"/>
        <w:rPr>
          <w:b/>
          <w:bCs/>
        </w:rPr>
      </w:pPr>
      <w:r>
        <w:rPr>
          <w:b/>
          <w:bCs/>
        </w:rPr>
        <w:t>主要起草单位及任务分工</w:t>
      </w:r>
    </w:p>
    <w:p w14:paraId="17D15612">
      <w:pPr>
        <w:pStyle w:val="11"/>
        <w:keepNext/>
        <w:jc w:val="center"/>
        <w:rPr>
          <w:rFonts w:ascii="Times New Roman" w:hAnsi="Times New Roman" w:eastAsia="宋体"/>
          <w:sz w:val="24"/>
        </w:rPr>
      </w:pPr>
      <w:r>
        <w:rPr>
          <w:rFonts w:hint="eastAsia" w:ascii="Times New Roman" w:hAnsi="Times New Roman" w:eastAsia="宋体"/>
          <w:sz w:val="24"/>
        </w:rPr>
        <w:t>表</w:t>
      </w:r>
      <w:r>
        <w:rPr>
          <w:rFonts w:ascii="Times New Roman" w:hAnsi="Times New Roman" w:eastAsia="宋体"/>
          <w:sz w:val="24"/>
        </w:rPr>
        <w:fldChar w:fldCharType="begin"/>
      </w:r>
      <w:r>
        <w:rPr>
          <w:rFonts w:ascii="Times New Roman" w:hAnsi="Times New Roman" w:eastAsia="宋体"/>
          <w:sz w:val="24"/>
        </w:rPr>
        <w:instrText xml:space="preserve"> </w:instrText>
      </w:r>
      <w:r>
        <w:rPr>
          <w:rFonts w:hint="eastAsia" w:ascii="Times New Roman" w:hAnsi="Times New Roman" w:eastAsia="宋体"/>
          <w:sz w:val="24"/>
        </w:rPr>
        <w:instrText xml:space="preserve">SEQ 表 \* ARABIC</w:instrText>
      </w:r>
      <w:r>
        <w:rPr>
          <w:rFonts w:ascii="Times New Roman" w:hAnsi="Times New Roman" w:eastAsia="宋体"/>
          <w:sz w:val="24"/>
        </w:rPr>
        <w:instrText xml:space="preserve"> </w:instrText>
      </w:r>
      <w:r>
        <w:rPr>
          <w:rFonts w:ascii="Times New Roman" w:hAnsi="Times New Roman" w:eastAsia="宋体"/>
          <w:sz w:val="24"/>
        </w:rPr>
        <w:fldChar w:fldCharType="separate"/>
      </w:r>
      <w:r>
        <w:rPr>
          <w:rFonts w:ascii="Times New Roman" w:hAnsi="Times New Roman" w:eastAsia="宋体"/>
          <w:sz w:val="24"/>
        </w:rPr>
        <w:t>18</w:t>
      </w:r>
      <w:r>
        <w:rPr>
          <w:rFonts w:ascii="Times New Roman" w:hAnsi="Times New Roman" w:eastAsia="宋体"/>
          <w:sz w:val="24"/>
        </w:rPr>
        <w:fldChar w:fldCharType="end"/>
      </w:r>
      <w:r>
        <w:rPr>
          <w:rFonts w:hint="eastAsia" w:ascii="Times New Roman" w:hAnsi="Times New Roman" w:eastAsia="宋体"/>
          <w:sz w:val="24"/>
        </w:rPr>
        <w:t xml:space="preserve"> </w:t>
      </w:r>
      <w:r>
        <w:rPr>
          <w:rFonts w:ascii="Times New Roman" w:hAnsi="Times New Roman" w:eastAsia="宋体"/>
          <w:sz w:val="24"/>
        </w:rPr>
        <w:t>参编单位及任务分工</w:t>
      </w:r>
    </w:p>
    <w:tbl>
      <w:tblPr>
        <w:tblStyle w:val="20"/>
        <w:tblW w:w="506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4"/>
        <w:gridCol w:w="4194"/>
        <w:gridCol w:w="3720"/>
      </w:tblGrid>
      <w:tr w14:paraId="3AAA4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9" w:type="pct"/>
            <w:tcBorders>
              <w:top w:val="single" w:color="auto" w:sz="4" w:space="0"/>
              <w:left w:val="single" w:color="auto" w:sz="4" w:space="0"/>
              <w:bottom w:val="single" w:color="auto" w:sz="4" w:space="0"/>
              <w:right w:val="single" w:color="auto" w:sz="4" w:space="0"/>
            </w:tcBorders>
            <w:vAlign w:val="center"/>
          </w:tcPr>
          <w:p w14:paraId="40945128">
            <w:pPr>
              <w:adjustRightInd w:val="0"/>
              <w:snapToGrid w:val="0"/>
              <w:spacing w:line="240" w:lineRule="auto"/>
              <w:jc w:val="center"/>
              <w:rPr>
                <w:kern w:val="0"/>
              </w:rPr>
            </w:pPr>
            <w:r>
              <w:rPr>
                <w:kern w:val="0"/>
              </w:rPr>
              <w:t>序号</w:t>
            </w:r>
          </w:p>
        </w:tc>
        <w:tc>
          <w:tcPr>
            <w:tcW w:w="2427" w:type="pct"/>
            <w:tcBorders>
              <w:top w:val="single" w:color="auto" w:sz="4" w:space="0"/>
              <w:left w:val="single" w:color="auto" w:sz="4" w:space="0"/>
              <w:bottom w:val="single" w:color="auto" w:sz="4" w:space="0"/>
              <w:right w:val="single" w:color="auto" w:sz="4" w:space="0"/>
            </w:tcBorders>
            <w:vAlign w:val="center"/>
          </w:tcPr>
          <w:p w14:paraId="14FA35A3">
            <w:pPr>
              <w:adjustRightInd w:val="0"/>
              <w:snapToGrid w:val="0"/>
              <w:spacing w:line="240" w:lineRule="auto"/>
              <w:jc w:val="center"/>
              <w:rPr>
                <w:kern w:val="0"/>
              </w:rPr>
            </w:pPr>
            <w:r>
              <w:rPr>
                <w:kern w:val="0"/>
              </w:rPr>
              <w:t>单位名称</w:t>
            </w:r>
          </w:p>
        </w:tc>
        <w:tc>
          <w:tcPr>
            <w:tcW w:w="2153" w:type="pct"/>
            <w:tcBorders>
              <w:top w:val="single" w:color="auto" w:sz="4" w:space="0"/>
              <w:left w:val="single" w:color="auto" w:sz="4" w:space="0"/>
              <w:bottom w:val="single" w:color="auto" w:sz="4" w:space="0"/>
              <w:right w:val="single" w:color="auto" w:sz="4" w:space="0"/>
            </w:tcBorders>
            <w:vAlign w:val="center"/>
          </w:tcPr>
          <w:p w14:paraId="5DE87A57">
            <w:pPr>
              <w:adjustRightInd w:val="0"/>
              <w:snapToGrid w:val="0"/>
              <w:spacing w:line="240" w:lineRule="auto"/>
              <w:jc w:val="center"/>
              <w:rPr>
                <w:kern w:val="0"/>
              </w:rPr>
            </w:pPr>
            <w:r>
              <w:rPr>
                <w:kern w:val="0"/>
              </w:rPr>
              <w:t>承担工作</w:t>
            </w:r>
          </w:p>
        </w:tc>
      </w:tr>
      <w:tr w14:paraId="57F65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9" w:type="pct"/>
            <w:tcBorders>
              <w:top w:val="single" w:color="auto" w:sz="4" w:space="0"/>
              <w:left w:val="single" w:color="auto" w:sz="4" w:space="0"/>
              <w:bottom w:val="single" w:color="auto" w:sz="4" w:space="0"/>
              <w:right w:val="single" w:color="auto" w:sz="4" w:space="0"/>
            </w:tcBorders>
            <w:vAlign w:val="center"/>
          </w:tcPr>
          <w:p w14:paraId="31F603E0">
            <w:pPr>
              <w:adjustRightInd w:val="0"/>
              <w:snapToGrid w:val="0"/>
              <w:spacing w:line="240" w:lineRule="auto"/>
              <w:jc w:val="center"/>
              <w:rPr>
                <w:kern w:val="0"/>
              </w:rPr>
            </w:pPr>
            <w:r>
              <w:rPr>
                <w:kern w:val="0"/>
              </w:rPr>
              <w:t>1</w:t>
            </w:r>
          </w:p>
        </w:tc>
        <w:tc>
          <w:tcPr>
            <w:tcW w:w="2427" w:type="pct"/>
            <w:tcBorders>
              <w:top w:val="single" w:color="auto" w:sz="4" w:space="0"/>
              <w:left w:val="single" w:color="auto" w:sz="4" w:space="0"/>
              <w:bottom w:val="single" w:color="auto" w:sz="4" w:space="0"/>
              <w:right w:val="single" w:color="auto" w:sz="4" w:space="0"/>
            </w:tcBorders>
            <w:vAlign w:val="center"/>
          </w:tcPr>
          <w:p w14:paraId="45FF7EC4">
            <w:pPr>
              <w:adjustRightInd w:val="0"/>
              <w:snapToGrid w:val="0"/>
              <w:spacing w:line="240" w:lineRule="auto"/>
              <w:jc w:val="center"/>
              <w:rPr>
                <w:kern w:val="0"/>
              </w:rPr>
            </w:pPr>
            <w:r>
              <w:rPr>
                <w:rFonts w:hint="eastAsia"/>
                <w:kern w:val="0"/>
              </w:rPr>
              <w:t>厦门艾思欧标准砂有限公司</w:t>
            </w:r>
          </w:p>
        </w:tc>
        <w:tc>
          <w:tcPr>
            <w:tcW w:w="2153" w:type="pct"/>
            <w:tcBorders>
              <w:top w:val="single" w:color="auto" w:sz="4" w:space="0"/>
              <w:left w:val="single" w:color="auto" w:sz="4" w:space="0"/>
              <w:bottom w:val="single" w:color="auto" w:sz="4" w:space="0"/>
              <w:right w:val="single" w:color="auto" w:sz="4" w:space="0"/>
            </w:tcBorders>
            <w:vAlign w:val="center"/>
          </w:tcPr>
          <w:p w14:paraId="75AF0F99">
            <w:pPr>
              <w:adjustRightInd w:val="0"/>
              <w:snapToGrid w:val="0"/>
              <w:spacing w:line="240" w:lineRule="auto"/>
              <w:jc w:val="center"/>
              <w:rPr>
                <w:kern w:val="0"/>
              </w:rPr>
            </w:pPr>
            <w:r>
              <w:rPr>
                <w:kern w:val="0"/>
              </w:rPr>
              <w:t>组织、协调和主持标准编制，承担验证试验</w:t>
            </w:r>
          </w:p>
        </w:tc>
      </w:tr>
      <w:tr w14:paraId="7BB83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9" w:type="pct"/>
            <w:tcBorders>
              <w:top w:val="single" w:color="auto" w:sz="4" w:space="0"/>
              <w:left w:val="single" w:color="auto" w:sz="4" w:space="0"/>
              <w:bottom w:val="single" w:color="auto" w:sz="4" w:space="0"/>
              <w:right w:val="single" w:color="auto" w:sz="4" w:space="0"/>
            </w:tcBorders>
            <w:vAlign w:val="center"/>
          </w:tcPr>
          <w:p w14:paraId="2184556D">
            <w:pPr>
              <w:adjustRightInd w:val="0"/>
              <w:snapToGrid w:val="0"/>
              <w:spacing w:line="240" w:lineRule="auto"/>
              <w:jc w:val="center"/>
              <w:rPr>
                <w:kern w:val="0"/>
              </w:rPr>
            </w:pPr>
            <w:r>
              <w:rPr>
                <w:kern w:val="0"/>
              </w:rPr>
              <w:t>2</w:t>
            </w:r>
          </w:p>
        </w:tc>
        <w:tc>
          <w:tcPr>
            <w:tcW w:w="2427" w:type="pct"/>
            <w:tcBorders>
              <w:top w:val="single" w:color="auto" w:sz="4" w:space="0"/>
              <w:left w:val="single" w:color="auto" w:sz="4" w:space="0"/>
              <w:bottom w:val="single" w:color="auto" w:sz="4" w:space="0"/>
              <w:right w:val="single" w:color="auto" w:sz="4" w:space="0"/>
            </w:tcBorders>
            <w:vAlign w:val="center"/>
          </w:tcPr>
          <w:p w14:paraId="6CCDEB7F">
            <w:pPr>
              <w:adjustRightInd w:val="0"/>
              <w:snapToGrid w:val="0"/>
              <w:spacing w:line="240" w:lineRule="auto"/>
              <w:jc w:val="center"/>
              <w:rPr>
                <w:kern w:val="0"/>
              </w:rPr>
            </w:pPr>
            <w:r>
              <w:rPr>
                <w:rFonts w:hint="eastAsia"/>
                <w:kern w:val="0"/>
              </w:rPr>
              <w:t>浙江天远新材料科技有限公司</w:t>
            </w:r>
          </w:p>
        </w:tc>
        <w:tc>
          <w:tcPr>
            <w:tcW w:w="2153" w:type="pct"/>
            <w:tcBorders>
              <w:top w:val="single" w:color="auto" w:sz="4" w:space="0"/>
              <w:left w:val="single" w:color="auto" w:sz="4" w:space="0"/>
              <w:bottom w:val="single" w:color="auto" w:sz="4" w:space="0"/>
              <w:right w:val="single" w:color="auto" w:sz="4" w:space="0"/>
            </w:tcBorders>
            <w:vAlign w:val="center"/>
          </w:tcPr>
          <w:p w14:paraId="32D04A1E">
            <w:pPr>
              <w:adjustRightInd w:val="0"/>
              <w:snapToGrid w:val="0"/>
              <w:spacing w:line="240" w:lineRule="auto"/>
              <w:jc w:val="center"/>
              <w:rPr>
                <w:kern w:val="0"/>
              </w:rPr>
            </w:pPr>
            <w:r>
              <w:rPr>
                <w:kern w:val="0"/>
              </w:rPr>
              <w:t>参与标准编制，</w:t>
            </w:r>
            <w:r>
              <w:rPr>
                <w:rFonts w:hint="eastAsia"/>
                <w:kern w:val="0"/>
              </w:rPr>
              <w:t>承担</w:t>
            </w:r>
            <w:r>
              <w:rPr>
                <w:kern w:val="0"/>
              </w:rPr>
              <w:t>验证试验</w:t>
            </w:r>
          </w:p>
        </w:tc>
      </w:tr>
      <w:tr w14:paraId="03286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9" w:type="pct"/>
            <w:tcBorders>
              <w:top w:val="single" w:color="auto" w:sz="4" w:space="0"/>
              <w:left w:val="single" w:color="auto" w:sz="4" w:space="0"/>
              <w:bottom w:val="single" w:color="auto" w:sz="4" w:space="0"/>
              <w:right w:val="single" w:color="auto" w:sz="4" w:space="0"/>
            </w:tcBorders>
            <w:vAlign w:val="center"/>
          </w:tcPr>
          <w:p w14:paraId="656779B1">
            <w:pPr>
              <w:adjustRightInd w:val="0"/>
              <w:snapToGrid w:val="0"/>
              <w:spacing w:line="240" w:lineRule="auto"/>
              <w:jc w:val="center"/>
              <w:rPr>
                <w:kern w:val="0"/>
              </w:rPr>
            </w:pPr>
            <w:r>
              <w:rPr>
                <w:kern w:val="0"/>
              </w:rPr>
              <w:t>3</w:t>
            </w:r>
          </w:p>
        </w:tc>
        <w:tc>
          <w:tcPr>
            <w:tcW w:w="2427" w:type="pct"/>
            <w:tcBorders>
              <w:top w:val="single" w:color="auto" w:sz="4" w:space="0"/>
              <w:left w:val="single" w:color="auto" w:sz="4" w:space="0"/>
              <w:bottom w:val="single" w:color="auto" w:sz="4" w:space="0"/>
              <w:right w:val="single" w:color="auto" w:sz="4" w:space="0"/>
            </w:tcBorders>
            <w:vAlign w:val="center"/>
          </w:tcPr>
          <w:p w14:paraId="4DB4731C">
            <w:pPr>
              <w:adjustRightInd w:val="0"/>
              <w:snapToGrid w:val="0"/>
              <w:spacing w:line="240" w:lineRule="auto"/>
              <w:jc w:val="center"/>
              <w:rPr>
                <w:kern w:val="0"/>
              </w:rPr>
            </w:pPr>
            <w:r>
              <w:rPr>
                <w:rFonts w:hint="eastAsia"/>
                <w:kern w:val="0"/>
              </w:rPr>
              <w:t>中国建筑材料科学研究总院有限公司</w:t>
            </w:r>
          </w:p>
        </w:tc>
        <w:tc>
          <w:tcPr>
            <w:tcW w:w="2153" w:type="pct"/>
            <w:tcBorders>
              <w:top w:val="single" w:color="auto" w:sz="4" w:space="0"/>
              <w:left w:val="single" w:color="auto" w:sz="4" w:space="0"/>
              <w:bottom w:val="single" w:color="auto" w:sz="4" w:space="0"/>
              <w:right w:val="single" w:color="auto" w:sz="4" w:space="0"/>
            </w:tcBorders>
            <w:vAlign w:val="center"/>
          </w:tcPr>
          <w:p w14:paraId="1EB0E406">
            <w:pPr>
              <w:adjustRightInd w:val="0"/>
              <w:snapToGrid w:val="0"/>
              <w:spacing w:line="240" w:lineRule="auto"/>
              <w:jc w:val="center"/>
              <w:rPr>
                <w:kern w:val="0"/>
              </w:rPr>
            </w:pPr>
            <w:r>
              <w:rPr>
                <w:kern w:val="0"/>
              </w:rPr>
              <w:t>参与标准编制，</w:t>
            </w:r>
            <w:r>
              <w:rPr>
                <w:rFonts w:hint="eastAsia"/>
                <w:kern w:val="0"/>
              </w:rPr>
              <w:t>承担</w:t>
            </w:r>
            <w:r>
              <w:rPr>
                <w:kern w:val="0"/>
              </w:rPr>
              <w:t>验证试验</w:t>
            </w:r>
          </w:p>
        </w:tc>
      </w:tr>
    </w:tbl>
    <w:p w14:paraId="6693FF7E">
      <w:pPr>
        <w:pStyle w:val="37"/>
        <w:numPr>
          <w:ilvl w:val="0"/>
          <w:numId w:val="1"/>
        </w:numPr>
        <w:ind w:firstLine="482" w:firstLineChars="200"/>
        <w:outlineLvl w:val="0"/>
        <w:rPr>
          <w:b/>
          <w:bCs/>
        </w:rPr>
      </w:pPr>
      <w:r>
        <w:rPr>
          <w:b/>
          <w:bCs/>
        </w:rPr>
        <w:t>标准编制原则和主要内容</w:t>
      </w:r>
    </w:p>
    <w:p w14:paraId="56BD7C95">
      <w:pPr>
        <w:pStyle w:val="37"/>
        <w:numPr>
          <w:ilvl w:val="1"/>
          <w:numId w:val="1"/>
        </w:numPr>
        <w:ind w:firstLine="482" w:firstLineChars="200"/>
        <w:outlineLvl w:val="1"/>
        <w:rPr>
          <w:b/>
          <w:bCs/>
        </w:rPr>
      </w:pPr>
      <w:r>
        <w:rPr>
          <w:b/>
          <w:bCs/>
        </w:rPr>
        <w:t>标准编制原则</w:t>
      </w:r>
    </w:p>
    <w:p w14:paraId="136AADDF">
      <w:pPr>
        <w:pStyle w:val="37"/>
        <w:ind w:left="0" w:firstLine="480" w:firstLineChars="200"/>
      </w:pPr>
      <w:r>
        <w:t>本标准根据GB/T 1.1-2020进行编制。标准编制过程中，遵从借鉴国内外先进标准原则、技术创新原则、与其他标准协调性原则、标准文本规范性与适用性原则和突出产品技术性原则。</w:t>
      </w:r>
    </w:p>
    <w:p w14:paraId="7DE063EC">
      <w:pPr>
        <w:pStyle w:val="37"/>
        <w:numPr>
          <w:ilvl w:val="1"/>
          <w:numId w:val="1"/>
        </w:numPr>
        <w:ind w:firstLine="482" w:firstLineChars="200"/>
        <w:outlineLvl w:val="1"/>
        <w:rPr>
          <w:b/>
          <w:bCs/>
        </w:rPr>
      </w:pPr>
      <w:r>
        <w:rPr>
          <w:b/>
          <w:bCs/>
        </w:rPr>
        <w:t>主要内容</w:t>
      </w:r>
    </w:p>
    <w:p w14:paraId="2CEAA632">
      <w:pPr>
        <w:pStyle w:val="37"/>
        <w:numPr>
          <w:ilvl w:val="2"/>
          <w:numId w:val="1"/>
        </w:numPr>
        <w:ind w:firstLine="482" w:firstLineChars="200"/>
        <w:outlineLvl w:val="2"/>
        <w:rPr>
          <w:b/>
          <w:bCs/>
        </w:rPr>
      </w:pPr>
      <w:r>
        <w:rPr>
          <w:rFonts w:hint="eastAsia"/>
          <w:b/>
          <w:bCs/>
        </w:rPr>
        <w:t>范围</w:t>
      </w:r>
    </w:p>
    <w:p w14:paraId="16EA512A">
      <w:pPr>
        <w:pStyle w:val="37"/>
        <w:ind w:left="0" w:firstLine="480" w:firstLineChars="200"/>
      </w:pPr>
      <w:r>
        <w:rPr>
          <w:rFonts w:hint="eastAsia"/>
        </w:rPr>
        <w:t>本文件规定了用于水泥和混凝土中的物理改性粉煤灰的组分与材料、技术要求、试验方法、检验规则、包装、标志、运输与贮存。</w:t>
      </w:r>
    </w:p>
    <w:p w14:paraId="6884346C">
      <w:pPr>
        <w:pStyle w:val="37"/>
        <w:ind w:left="0" w:firstLine="480" w:firstLineChars="200"/>
      </w:pPr>
      <w:r>
        <w:rPr>
          <w:rFonts w:hint="eastAsia"/>
        </w:rPr>
        <w:t>本标准适用于拌制砂浆和混凝土时作为掺合料的物理改性粉煤灰及水泥生产中作为活性混合材料的物理改性粉煤灰。</w:t>
      </w:r>
    </w:p>
    <w:p w14:paraId="51EEBB9B">
      <w:pPr>
        <w:pStyle w:val="37"/>
        <w:numPr>
          <w:ilvl w:val="2"/>
          <w:numId w:val="1"/>
        </w:numPr>
        <w:ind w:firstLine="482" w:firstLineChars="200"/>
        <w:outlineLvl w:val="2"/>
        <w:rPr>
          <w:b/>
          <w:bCs/>
        </w:rPr>
      </w:pPr>
      <w:r>
        <w:rPr>
          <w:b/>
          <w:bCs/>
        </w:rPr>
        <w:t>规范性引用文件</w:t>
      </w:r>
    </w:p>
    <w:p w14:paraId="01C07921">
      <w:pPr>
        <w:pStyle w:val="37"/>
        <w:ind w:left="0" w:firstLine="480" w:firstLineChars="200"/>
      </w:pPr>
      <w:r>
        <w:rPr>
          <w:rFonts w:hint="eastAsia"/>
        </w:rPr>
        <w:t>本标准共引用了14个国家标准和行业标准。包括以下标准：</w:t>
      </w:r>
    </w:p>
    <w:p w14:paraId="4FF38F26">
      <w:pPr>
        <w:pStyle w:val="37"/>
        <w:numPr>
          <w:ilvl w:val="0"/>
          <w:numId w:val="6"/>
        </w:numPr>
      </w:pPr>
      <w:r>
        <w:rPr>
          <w:rFonts w:hint="eastAsia"/>
        </w:rPr>
        <w:t>GB 175  通用硅酸盐水泥</w:t>
      </w:r>
    </w:p>
    <w:p w14:paraId="4DC78C6F">
      <w:pPr>
        <w:pStyle w:val="37"/>
        <w:ind w:left="0" w:firstLine="480" w:firstLineChars="200"/>
      </w:pPr>
      <w:r>
        <w:rPr>
          <w:rFonts w:hint="eastAsia"/>
        </w:rPr>
        <w:t>引用了该标准中硅酸盐水泥和普通硅酸盐水泥的相关内容。</w:t>
      </w:r>
    </w:p>
    <w:p w14:paraId="7B6350D1">
      <w:pPr>
        <w:pStyle w:val="37"/>
        <w:numPr>
          <w:ilvl w:val="0"/>
          <w:numId w:val="6"/>
        </w:numPr>
      </w:pPr>
      <w:r>
        <w:rPr>
          <w:rFonts w:hint="eastAsia"/>
        </w:rPr>
        <w:t>GB/T 176  水泥化学分析方法</w:t>
      </w:r>
    </w:p>
    <w:p w14:paraId="6A8D570C">
      <w:pPr>
        <w:pStyle w:val="37"/>
        <w:ind w:left="0" w:firstLine="480" w:firstLineChars="200"/>
      </w:pPr>
      <w:r>
        <w:rPr>
          <w:rFonts w:hint="eastAsia"/>
        </w:rPr>
        <w:t>引用了该标准关于硫化物、三氧化硫、氯离子等技术指标测试方法的相关内容。</w:t>
      </w:r>
    </w:p>
    <w:p w14:paraId="6B3F7279">
      <w:pPr>
        <w:pStyle w:val="37"/>
        <w:numPr>
          <w:ilvl w:val="0"/>
          <w:numId w:val="6"/>
        </w:numPr>
      </w:pPr>
      <w:r>
        <w:rPr>
          <w:rFonts w:hint="eastAsia"/>
        </w:rPr>
        <w:t>GB/T 208  水泥密度测定方法</w:t>
      </w:r>
    </w:p>
    <w:p w14:paraId="2598B1AC">
      <w:pPr>
        <w:pStyle w:val="37"/>
        <w:ind w:left="0" w:firstLine="480" w:firstLineChars="200"/>
      </w:pPr>
      <w:r>
        <w:rPr>
          <w:rFonts w:hint="eastAsia"/>
        </w:rPr>
        <w:t>引用了该标准关于密度指标测试方法的相关内容。</w:t>
      </w:r>
    </w:p>
    <w:p w14:paraId="7C17845D">
      <w:pPr>
        <w:pStyle w:val="37"/>
        <w:numPr>
          <w:ilvl w:val="0"/>
          <w:numId w:val="6"/>
        </w:numPr>
      </w:pPr>
      <w:r>
        <w:rPr>
          <w:rFonts w:hint="eastAsia"/>
        </w:rPr>
        <w:t>GB/T 678  化学试剂 乙醇（无水乙醇）</w:t>
      </w:r>
    </w:p>
    <w:p w14:paraId="02435CE6">
      <w:pPr>
        <w:pStyle w:val="37"/>
        <w:ind w:left="0" w:firstLine="480" w:firstLineChars="200"/>
        <w:rPr>
          <w:rFonts w:hint="eastAsia"/>
        </w:rPr>
      </w:pPr>
      <w:r>
        <w:rPr>
          <w:rFonts w:hint="eastAsia"/>
        </w:rPr>
        <w:t>引用了该标准关于乙醇试剂的相关内容。</w:t>
      </w:r>
    </w:p>
    <w:p w14:paraId="2D3DE018">
      <w:pPr>
        <w:pStyle w:val="37"/>
        <w:numPr>
          <w:ilvl w:val="0"/>
          <w:numId w:val="6"/>
        </w:numPr>
      </w:pPr>
      <w:r>
        <w:rPr>
          <w:rFonts w:hint="eastAsia"/>
        </w:rPr>
        <w:t>GB/T 1346  水泥标准稠度用水量、凝结时间与安定性检验方法</w:t>
      </w:r>
    </w:p>
    <w:p w14:paraId="1FB872B9">
      <w:pPr>
        <w:pStyle w:val="37"/>
        <w:ind w:left="0" w:firstLine="480" w:firstLineChars="200"/>
      </w:pPr>
      <w:r>
        <w:t>引用了该标准中</w:t>
      </w:r>
      <w:r>
        <w:rPr>
          <w:rFonts w:hint="eastAsia"/>
        </w:rPr>
        <w:t>水泥标准稠度用水量、凝结时间与</w:t>
      </w:r>
      <w:r>
        <w:t>安定性检测方法的相关内容</w:t>
      </w:r>
      <w:r>
        <w:rPr>
          <w:rFonts w:hint="eastAsia"/>
        </w:rPr>
        <w:t>。</w:t>
      </w:r>
    </w:p>
    <w:p w14:paraId="39CAB962">
      <w:pPr>
        <w:pStyle w:val="37"/>
        <w:numPr>
          <w:ilvl w:val="0"/>
          <w:numId w:val="6"/>
        </w:numPr>
      </w:pPr>
      <w:r>
        <w:rPr>
          <w:rFonts w:hint="eastAsia"/>
        </w:rPr>
        <w:t>GB/T 1596  用于水泥和混凝土中的粉煤灰</w:t>
      </w:r>
    </w:p>
    <w:p w14:paraId="1DA868EB">
      <w:pPr>
        <w:pStyle w:val="37"/>
        <w:ind w:left="0" w:firstLine="480" w:firstLineChars="200"/>
      </w:pPr>
      <w:r>
        <w:t>引用了该标准中粉煤灰定义的相关内容</w:t>
      </w:r>
      <w:r>
        <w:rPr>
          <w:rFonts w:hint="eastAsia"/>
        </w:rPr>
        <w:t>。</w:t>
      </w:r>
    </w:p>
    <w:p w14:paraId="3136B513">
      <w:pPr>
        <w:pStyle w:val="37"/>
        <w:numPr>
          <w:ilvl w:val="0"/>
          <w:numId w:val="6"/>
        </w:numPr>
      </w:pPr>
      <w:r>
        <w:rPr>
          <w:rFonts w:hint="eastAsia"/>
        </w:rPr>
        <w:t>GB/T 6566  建筑材料放射性核素限量</w:t>
      </w:r>
    </w:p>
    <w:p w14:paraId="4F168EB6">
      <w:pPr>
        <w:pStyle w:val="37"/>
        <w:ind w:left="0" w:firstLine="480" w:firstLineChars="200"/>
      </w:pPr>
      <w:r>
        <w:t>引用了该标准中放射性检测方法的相关内容</w:t>
      </w:r>
      <w:r>
        <w:rPr>
          <w:rFonts w:hint="eastAsia"/>
        </w:rPr>
        <w:t>。</w:t>
      </w:r>
    </w:p>
    <w:p w14:paraId="1ACD76E4">
      <w:pPr>
        <w:pStyle w:val="37"/>
        <w:numPr>
          <w:ilvl w:val="0"/>
          <w:numId w:val="6"/>
        </w:numPr>
      </w:pPr>
      <w:r>
        <w:rPr>
          <w:rFonts w:hint="eastAsia"/>
        </w:rPr>
        <w:t>GB/T 9774  水泥包装袋</w:t>
      </w:r>
    </w:p>
    <w:p w14:paraId="61ABEFD1">
      <w:pPr>
        <w:pStyle w:val="37"/>
        <w:ind w:left="0" w:firstLine="480" w:firstLineChars="200"/>
      </w:pPr>
      <w:r>
        <w:t>引用了该标准中产品包装袋技术要求的相关内容</w:t>
      </w:r>
      <w:r>
        <w:rPr>
          <w:rFonts w:hint="eastAsia"/>
        </w:rPr>
        <w:t>。</w:t>
      </w:r>
    </w:p>
    <w:p w14:paraId="5756CC43">
      <w:pPr>
        <w:pStyle w:val="37"/>
        <w:numPr>
          <w:ilvl w:val="0"/>
          <w:numId w:val="6"/>
        </w:numPr>
      </w:pPr>
      <w:r>
        <w:rPr>
          <w:rFonts w:hint="eastAsia"/>
        </w:rPr>
        <w:t>GB/T 12573  水泥取样方法</w:t>
      </w:r>
    </w:p>
    <w:p w14:paraId="7C8D2E65">
      <w:pPr>
        <w:pStyle w:val="37"/>
        <w:ind w:left="0" w:firstLine="480" w:firstLineChars="200"/>
      </w:pPr>
      <w:r>
        <w:t>引用了该标准中关于取样方法的相关内容</w:t>
      </w:r>
      <w:r>
        <w:rPr>
          <w:rFonts w:hint="eastAsia"/>
        </w:rPr>
        <w:t>。</w:t>
      </w:r>
    </w:p>
    <w:p w14:paraId="37E71276">
      <w:pPr>
        <w:pStyle w:val="37"/>
        <w:numPr>
          <w:ilvl w:val="0"/>
          <w:numId w:val="6"/>
        </w:numPr>
      </w:pPr>
      <w:r>
        <w:rPr>
          <w:rFonts w:hint="eastAsia"/>
        </w:rPr>
        <w:t>GB/T 39701  粉煤灰中铵离子含量的限量及检验方法</w:t>
      </w:r>
    </w:p>
    <w:p w14:paraId="759C650B">
      <w:pPr>
        <w:pStyle w:val="37"/>
        <w:ind w:left="0" w:firstLine="480" w:firstLineChars="200"/>
      </w:pPr>
      <w:r>
        <w:t>引用了该标准中粉煤灰铵离子含量测试方法的相关内容</w:t>
      </w:r>
      <w:r>
        <w:rPr>
          <w:rFonts w:hint="eastAsia"/>
        </w:rPr>
        <w:t>。</w:t>
      </w:r>
    </w:p>
    <w:p w14:paraId="36BC16D4">
      <w:pPr>
        <w:pStyle w:val="37"/>
        <w:numPr>
          <w:ilvl w:val="0"/>
          <w:numId w:val="6"/>
        </w:numPr>
      </w:pPr>
      <w:r>
        <w:rPr>
          <w:rFonts w:hint="eastAsia"/>
        </w:rPr>
        <w:t>GSB 08-3912  粉煤灰铵离子含量系列标准样品</w:t>
      </w:r>
    </w:p>
    <w:p w14:paraId="412B621B">
      <w:pPr>
        <w:pStyle w:val="37"/>
        <w:ind w:left="0" w:firstLine="480" w:firstLineChars="200"/>
      </w:pPr>
      <w:r>
        <w:rPr>
          <w:rFonts w:hint="eastAsia"/>
        </w:rPr>
        <w:t>引用该标准样品检测本标准中规定的粉煤灰铵离子含量。</w:t>
      </w:r>
    </w:p>
    <w:p w14:paraId="68C49450">
      <w:pPr>
        <w:pStyle w:val="37"/>
        <w:numPr>
          <w:ilvl w:val="0"/>
          <w:numId w:val="6"/>
        </w:numPr>
      </w:pPr>
      <w:r>
        <w:rPr>
          <w:rFonts w:hint="eastAsia"/>
        </w:rPr>
        <w:t>JC/T 721  水泥颗粒级配测定方法 激光法</w:t>
      </w:r>
    </w:p>
    <w:p w14:paraId="41D37EEF">
      <w:pPr>
        <w:pStyle w:val="37"/>
        <w:ind w:left="0" w:firstLine="480" w:firstLineChars="200"/>
      </w:pPr>
      <w:r>
        <w:t>引用了该标准中粒径测试方法的相关内容</w:t>
      </w:r>
      <w:r>
        <w:rPr>
          <w:rFonts w:hint="eastAsia"/>
        </w:rPr>
        <w:t>。</w:t>
      </w:r>
    </w:p>
    <w:p w14:paraId="587A9DF9">
      <w:pPr>
        <w:pStyle w:val="37"/>
        <w:numPr>
          <w:ilvl w:val="0"/>
          <w:numId w:val="6"/>
        </w:numPr>
      </w:pPr>
      <w:r>
        <w:rPr>
          <w:rFonts w:hint="eastAsia"/>
        </w:rPr>
        <w:t>JY/T 0584  扫描电子显微镜分析方法通则</w:t>
      </w:r>
    </w:p>
    <w:p w14:paraId="0BA24A3C">
      <w:pPr>
        <w:pStyle w:val="37"/>
        <w:ind w:left="0" w:firstLine="480" w:firstLineChars="200"/>
      </w:pPr>
      <w:r>
        <w:rPr>
          <w:rFonts w:hint="eastAsia"/>
        </w:rPr>
        <w:t>引用了该标准中样品颗粒形貌测试方法的相关内容。</w:t>
      </w:r>
    </w:p>
    <w:p w14:paraId="09613AA2">
      <w:pPr>
        <w:pStyle w:val="37"/>
        <w:numPr>
          <w:ilvl w:val="0"/>
          <w:numId w:val="6"/>
        </w:numPr>
      </w:pPr>
      <w:r>
        <w:rPr>
          <w:rFonts w:hint="eastAsia"/>
        </w:rPr>
        <w:t>SJ 21257  离子束溅射镀膜设备通用规范</w:t>
      </w:r>
    </w:p>
    <w:p w14:paraId="3DF4179B">
      <w:pPr>
        <w:pStyle w:val="37"/>
        <w:ind w:left="0" w:firstLine="480" w:firstLineChars="200"/>
      </w:pPr>
      <w:r>
        <w:rPr>
          <w:rFonts w:hint="eastAsia"/>
        </w:rPr>
        <w:t>引用该标准检测粉煤灰玻璃微珠形貌。</w:t>
      </w:r>
    </w:p>
    <w:p w14:paraId="5919D309">
      <w:pPr>
        <w:pStyle w:val="37"/>
        <w:numPr>
          <w:ilvl w:val="2"/>
          <w:numId w:val="1"/>
        </w:numPr>
        <w:ind w:firstLine="482" w:firstLineChars="200"/>
        <w:outlineLvl w:val="2"/>
        <w:rPr>
          <w:b/>
          <w:bCs/>
        </w:rPr>
      </w:pPr>
      <w:r>
        <w:rPr>
          <w:b/>
          <w:bCs/>
        </w:rPr>
        <w:t>术语与定义</w:t>
      </w:r>
    </w:p>
    <w:p w14:paraId="012D96D1">
      <w:pPr>
        <w:pStyle w:val="37"/>
        <w:numPr>
          <w:ilvl w:val="0"/>
          <w:numId w:val="7"/>
        </w:numPr>
      </w:pPr>
      <w:r>
        <w:rPr>
          <w:rFonts w:hint="eastAsia"/>
        </w:rPr>
        <w:t>物理改性粉煤灰 Physical-modified fly ash</w:t>
      </w:r>
    </w:p>
    <w:p w14:paraId="4CFF825A">
      <w:pPr>
        <w:pStyle w:val="37"/>
        <w:ind w:left="0" w:firstLine="480" w:firstLineChars="200"/>
      </w:pPr>
      <w:r>
        <w:rPr>
          <w:rFonts w:hint="eastAsia"/>
        </w:rPr>
        <w:t>燃煤电厂锅炉烟气经除尘器收集的原始粉煤灰，通过研磨整形等物理改性方式加工得到的细粉状固体颗粒物。</w:t>
      </w:r>
    </w:p>
    <w:p w14:paraId="737504BD">
      <w:pPr>
        <w:pStyle w:val="37"/>
        <w:numPr>
          <w:ilvl w:val="0"/>
          <w:numId w:val="7"/>
        </w:numPr>
      </w:pPr>
      <w:r>
        <w:rPr>
          <w:rFonts w:hint="eastAsia"/>
        </w:rPr>
        <w:t>玻璃微珠完好率 Integrity rate of glass beads</w:t>
      </w:r>
    </w:p>
    <w:p w14:paraId="6B43ADFC">
      <w:pPr>
        <w:pStyle w:val="37"/>
        <w:ind w:left="0" w:firstLine="480" w:firstLineChars="200"/>
      </w:pPr>
      <w:r>
        <w:rPr>
          <w:rFonts w:hint="eastAsia"/>
        </w:rPr>
        <w:t>粉煤灰经研磨整形等物理改性方式加工后，完好玻璃微珠数量（质量）与玻璃微珠总数量（质量）的比值。</w:t>
      </w:r>
    </w:p>
    <w:p w14:paraId="7F23C6F8">
      <w:pPr>
        <w:pStyle w:val="37"/>
        <w:ind w:left="0" w:firstLine="480" w:firstLineChars="200"/>
      </w:pPr>
      <w:r>
        <w:rPr>
          <w:rFonts w:hint="eastAsia"/>
        </w:rPr>
        <w:t>注：玻璃微珠是煤粉在1400</w:t>
      </w:r>
      <w:r>
        <w:t>℃</w:t>
      </w:r>
      <w:r>
        <w:rPr>
          <w:rFonts w:hint="eastAsia"/>
        </w:rPr>
        <w:t>以上燃烧形成共熔体产生的液相冷却形成的玻璃体。</w:t>
      </w:r>
    </w:p>
    <w:p w14:paraId="6EAFB13F">
      <w:pPr>
        <w:pStyle w:val="37"/>
        <w:numPr>
          <w:ilvl w:val="2"/>
          <w:numId w:val="1"/>
        </w:numPr>
        <w:ind w:firstLine="482" w:firstLineChars="200"/>
        <w:outlineLvl w:val="2"/>
        <w:rPr>
          <w:b/>
          <w:bCs/>
        </w:rPr>
      </w:pPr>
      <w:r>
        <w:rPr>
          <w:rFonts w:hint="eastAsia"/>
          <w:b/>
          <w:bCs/>
        </w:rPr>
        <w:t>组分与材料</w:t>
      </w:r>
    </w:p>
    <w:p w14:paraId="652FC175">
      <w:pPr>
        <w:pStyle w:val="37"/>
        <w:numPr>
          <w:ilvl w:val="0"/>
          <w:numId w:val="8"/>
        </w:numPr>
      </w:pPr>
      <w:r>
        <w:rPr>
          <w:rFonts w:hint="eastAsia"/>
        </w:rPr>
        <w:t>粉煤灰原灰</w:t>
      </w:r>
    </w:p>
    <w:p w14:paraId="741DA434">
      <w:pPr>
        <w:pStyle w:val="37"/>
        <w:ind w:left="0" w:firstLine="480" w:firstLineChars="200"/>
      </w:pPr>
      <w:r>
        <w:rPr>
          <w:rFonts w:hint="eastAsia"/>
        </w:rPr>
        <w:t>粉煤灰原灰除细度外，其他指标符合GB/T 1596规定。</w:t>
      </w:r>
    </w:p>
    <w:p w14:paraId="30316503">
      <w:pPr>
        <w:pStyle w:val="37"/>
        <w:numPr>
          <w:ilvl w:val="0"/>
          <w:numId w:val="8"/>
        </w:numPr>
      </w:pPr>
      <w:r>
        <w:rPr>
          <w:rFonts w:hint="eastAsia"/>
        </w:rPr>
        <w:t>分类</w:t>
      </w:r>
    </w:p>
    <w:p w14:paraId="51B339E9">
      <w:pPr>
        <w:pStyle w:val="37"/>
        <w:ind w:left="0" w:firstLine="480" w:firstLineChars="200"/>
      </w:pPr>
      <w:r>
        <w:rPr>
          <w:rFonts w:hint="eastAsia"/>
        </w:rPr>
        <w:t>根据燃煤品种分为F类物理改性粉煤灰（由无烟煤或烟煤煅烧收集经研磨整形的粉煤灰）和C类物理改性粉煤灰（由褐煤或次烟煤煅烧收集经研磨整形的粉煤灰，氧化钙含量一般大于或等于10%）。</w:t>
      </w:r>
    </w:p>
    <w:p w14:paraId="5CFF5F8A">
      <w:pPr>
        <w:pStyle w:val="37"/>
        <w:numPr>
          <w:ilvl w:val="2"/>
          <w:numId w:val="1"/>
        </w:numPr>
        <w:ind w:firstLine="482" w:firstLineChars="200"/>
        <w:outlineLvl w:val="2"/>
        <w:rPr>
          <w:b/>
          <w:bCs/>
        </w:rPr>
      </w:pPr>
      <w:r>
        <w:rPr>
          <w:rFonts w:hint="eastAsia"/>
          <w:b/>
          <w:bCs/>
        </w:rPr>
        <w:t>技术要求</w:t>
      </w:r>
    </w:p>
    <w:p w14:paraId="6B493D43">
      <w:pPr>
        <w:pStyle w:val="37"/>
        <w:ind w:left="0" w:firstLine="480" w:firstLineChars="200"/>
      </w:pPr>
      <w:r>
        <w:rPr>
          <w:rFonts w:hint="eastAsia"/>
        </w:rPr>
        <w:t>本文件的技术指标包括</w:t>
      </w:r>
      <w:r>
        <w:t>细度（45μm方孔筛筛余）、玻璃微珠完好率、颗粒形貌（圆形度、长径比）、粒径分布（D50、D90）、铵离子含量、需水量比、含水量、密度、强度活性指数、烧失量（Loss）、三氧化硫（SO</w:t>
      </w:r>
      <w:r>
        <w:rPr>
          <w:vertAlign w:val="subscript"/>
        </w:rPr>
        <w:t>3</w:t>
      </w:r>
      <w:r>
        <w:t>）质量分数、游离氧化钙（f-CaO）质量分数、二氧化硅（SiO</w:t>
      </w:r>
      <w:r>
        <w:rPr>
          <w:vertAlign w:val="subscript"/>
        </w:rPr>
        <w:t>2</w:t>
      </w:r>
      <w:r>
        <w:t>）、三氧化二铝（Al</w:t>
      </w:r>
      <w:r>
        <w:rPr>
          <w:vertAlign w:val="subscript"/>
        </w:rPr>
        <w:t>3</w:t>
      </w:r>
      <w:r>
        <w:t>O</w:t>
      </w:r>
      <w:r>
        <w:rPr>
          <w:vertAlign w:val="subscript"/>
        </w:rPr>
        <w:t>2</w:t>
      </w:r>
      <w:r>
        <w:t>）和三氧化二铁（Fe</w:t>
      </w:r>
      <w:r>
        <w:rPr>
          <w:vertAlign w:val="subscript"/>
        </w:rPr>
        <w:t>2</w:t>
      </w:r>
      <w:r>
        <w:t>O</w:t>
      </w:r>
      <w:r>
        <w:rPr>
          <w:vertAlign w:val="subscript"/>
        </w:rPr>
        <w:t>3</w:t>
      </w:r>
      <w:r>
        <w:t>）总质量分数、安定性（雷氏法）</w:t>
      </w:r>
      <w:r>
        <w:rPr>
          <w:rFonts w:hint="eastAsia"/>
        </w:rPr>
        <w:t>、放射性</w:t>
      </w:r>
      <w:r>
        <w:t>。</w:t>
      </w:r>
    </w:p>
    <w:p w14:paraId="28E7113D">
      <w:pPr>
        <w:pStyle w:val="37"/>
        <w:numPr>
          <w:ilvl w:val="3"/>
          <w:numId w:val="1"/>
        </w:numPr>
        <w:ind w:firstLine="482" w:firstLineChars="200"/>
        <w:outlineLvl w:val="3"/>
        <w:rPr>
          <w:b/>
          <w:bCs/>
        </w:rPr>
      </w:pPr>
      <w:r>
        <w:rPr>
          <w:b/>
          <w:bCs/>
        </w:rPr>
        <w:t>细度（45μm方孔筛筛余）</w:t>
      </w:r>
    </w:p>
    <w:p w14:paraId="33C6500B">
      <w:pPr>
        <w:pStyle w:val="37"/>
        <w:ind w:left="0" w:firstLine="480" w:firstLineChars="200"/>
        <w:rPr>
          <w:rFonts w:hint="eastAsia"/>
        </w:rPr>
      </w:pPr>
      <w:r>
        <w:rPr>
          <w:rFonts w:hint="eastAsia"/>
        </w:rPr>
        <w:t>细度</w:t>
      </w:r>
      <w:r>
        <w:t>（45μm方孔筛筛余）</w:t>
      </w:r>
      <w:r>
        <w:rPr>
          <w:rFonts w:hint="eastAsia"/>
        </w:rPr>
        <w:t>是表征物理改性粉煤灰颗粒大小的量化指标，同时也是体现物理改性粉煤灰特性的重要依据，本文件规定45</w:t>
      </w:r>
      <w:r>
        <w:t>μ</w:t>
      </w:r>
      <w:r>
        <w:rPr>
          <w:rFonts w:hint="eastAsia"/>
        </w:rPr>
        <w:t>m</w:t>
      </w:r>
      <w:r>
        <w:t>方孔筛</w:t>
      </w:r>
      <w:r>
        <w:rPr>
          <w:rFonts w:hint="eastAsia"/>
        </w:rPr>
        <w:t>筛余不大于12%。</w:t>
      </w:r>
    </w:p>
    <w:p w14:paraId="0A49101B">
      <w:pPr>
        <w:pStyle w:val="37"/>
        <w:numPr>
          <w:ilvl w:val="3"/>
          <w:numId w:val="1"/>
        </w:numPr>
        <w:ind w:firstLine="482" w:firstLineChars="200"/>
        <w:outlineLvl w:val="3"/>
        <w:rPr>
          <w:b/>
          <w:bCs/>
        </w:rPr>
      </w:pPr>
      <w:r>
        <w:rPr>
          <w:b/>
          <w:bCs/>
        </w:rPr>
        <w:t>玻璃微珠完好率</w:t>
      </w:r>
      <w:r>
        <w:rPr>
          <w:rFonts w:hint="eastAsia"/>
          <w:b/>
          <w:bCs/>
        </w:rPr>
        <w:t>和</w:t>
      </w:r>
      <w:r>
        <w:rPr>
          <w:b/>
          <w:bCs/>
        </w:rPr>
        <w:t>颗粒形貌（圆形度、长径比</w:t>
      </w:r>
      <w:r>
        <w:rPr>
          <w:rFonts w:hint="eastAsia"/>
          <w:b/>
          <w:bCs/>
        </w:rPr>
        <w:t>）</w:t>
      </w:r>
    </w:p>
    <w:p w14:paraId="63F92F8E">
      <w:pPr>
        <w:pStyle w:val="37"/>
        <w:ind w:left="0" w:firstLine="480" w:firstLineChars="200"/>
      </w:pPr>
      <w:r>
        <w:rPr>
          <w:rFonts w:hint="eastAsia"/>
        </w:rPr>
        <w:t>粉煤灰改善混凝土工作性的核心机制之一就是玻璃微珠在浆体中起滚珠轴承作用，减小颗粒间摩擦。玻璃微珠完好率越高，颗粒表面越光滑，浆体剪切阻力越小，需水量比越低。普通球磨机将粉煤灰磨细时，强大的钢球冲击会把原本的空心/实心玻璃微珠（漂珠、沉珠）撞碎、碾扁，产生大量不规则碎片和多孔颗粒。这些破损颗粒的比表面积剧增，吸附更多自由水，导致需水量比升高（甚至超过未磨细的原灰）。本文件</w:t>
      </w:r>
      <w:r>
        <w:t>规定玻璃微珠完好率</w:t>
      </w:r>
      <w:r>
        <w:rPr>
          <w:rFonts w:hint="eastAsia"/>
        </w:rPr>
        <w:t>不小于</w:t>
      </w:r>
      <w:r>
        <w:t>80%，就是强制要求研磨整形工艺必须采用低损伤整形设备（如立式磨</w:t>
      </w:r>
      <w:r>
        <w:rPr>
          <w:rFonts w:hint="eastAsia"/>
        </w:rPr>
        <w:t>等</w:t>
      </w:r>
      <w:r>
        <w:t>），做到</w:t>
      </w:r>
      <w:r>
        <w:rPr>
          <w:rFonts w:hint="eastAsia"/>
        </w:rPr>
        <w:t>“</w:t>
      </w:r>
      <w:r>
        <w:t>打散团聚、剥离粗粒、修整形貌</w:t>
      </w:r>
      <w:r>
        <w:rPr>
          <w:rFonts w:hint="eastAsia"/>
        </w:rPr>
        <w:t>”</w:t>
      </w:r>
      <w:r>
        <w:t>，而不是简单把微珠磨碎。这是对</w:t>
      </w:r>
      <w:r>
        <w:rPr>
          <w:rFonts w:hint="eastAsia"/>
        </w:rPr>
        <w:t>“</w:t>
      </w:r>
      <w:r>
        <w:t>物理改性</w:t>
      </w:r>
      <w:r>
        <w:rPr>
          <w:rFonts w:hint="eastAsia"/>
        </w:rPr>
        <w:t>”</w:t>
      </w:r>
      <w:r>
        <w:t>工艺合格与否的直接判定。</w:t>
      </w:r>
    </w:p>
    <w:p w14:paraId="4F936B72">
      <w:pPr>
        <w:pStyle w:val="37"/>
        <w:ind w:left="0" w:firstLine="480" w:firstLineChars="200"/>
        <w:rPr>
          <w:rFonts w:hint="eastAsia"/>
        </w:rPr>
      </w:pPr>
      <w:r>
        <w:rPr>
          <w:rFonts w:hint="eastAsia"/>
        </w:rPr>
        <w:t>限制物理改性粉煤的颗粒形貌（圆形度和长径比），则进一步限制了玻璃微珠及其他杂质碎片含量，保证物理改性粉煤的滚珠效应。本文件规定物理改性粉煤的圆形度不小于0.85，长径比不大于1.30。</w:t>
      </w:r>
    </w:p>
    <w:p w14:paraId="227B13DD">
      <w:pPr>
        <w:pStyle w:val="37"/>
        <w:numPr>
          <w:ilvl w:val="3"/>
          <w:numId w:val="1"/>
        </w:numPr>
        <w:ind w:firstLine="482" w:firstLineChars="200"/>
        <w:outlineLvl w:val="3"/>
        <w:rPr>
          <w:b/>
          <w:bCs/>
        </w:rPr>
      </w:pPr>
      <w:r>
        <w:rPr>
          <w:b/>
          <w:bCs/>
        </w:rPr>
        <w:t>粒径分布（D50、D90）</w:t>
      </w:r>
    </w:p>
    <w:p w14:paraId="6E2871D6">
      <w:pPr>
        <w:pStyle w:val="37"/>
        <w:ind w:left="0" w:firstLine="480" w:firstLineChars="200"/>
        <w:rPr>
          <w:rFonts w:hint="eastAsia"/>
        </w:rPr>
      </w:pPr>
      <w:r>
        <w:rPr>
          <w:rFonts w:hint="eastAsia"/>
        </w:rPr>
        <w:t>考虑到经研磨整形后的物理改性粉煤灰的粒径分布将更符合Fuller曲线趋势，本文件增加了</w:t>
      </w:r>
      <w:r>
        <w:t>D50、D90</w:t>
      </w:r>
      <w:r>
        <w:rPr>
          <w:rFonts w:hint="eastAsia"/>
        </w:rPr>
        <w:t>粒径分布指标，根据前期物理改性粉煤灰的样品调研和研究结果，物理改性粉煤灰的D50不大于15</w:t>
      </w:r>
      <w:r>
        <w:t>μ</w:t>
      </w:r>
      <w:r>
        <w:rPr>
          <w:rFonts w:hint="eastAsia"/>
        </w:rPr>
        <w:t>m，D90不大于45</w:t>
      </w:r>
      <w:r>
        <w:t>μ</w:t>
      </w:r>
      <w:r>
        <w:rPr>
          <w:rFonts w:hint="eastAsia"/>
        </w:rPr>
        <w:t>m。</w:t>
      </w:r>
    </w:p>
    <w:p w14:paraId="50C1DD98">
      <w:pPr>
        <w:pStyle w:val="37"/>
        <w:numPr>
          <w:ilvl w:val="3"/>
          <w:numId w:val="1"/>
        </w:numPr>
        <w:ind w:firstLine="482" w:firstLineChars="200"/>
        <w:outlineLvl w:val="3"/>
        <w:rPr>
          <w:b/>
          <w:bCs/>
        </w:rPr>
      </w:pPr>
      <w:r>
        <w:rPr>
          <w:b/>
          <w:bCs/>
        </w:rPr>
        <w:t>铵离子含量</w:t>
      </w:r>
    </w:p>
    <w:p w14:paraId="2B435EC3">
      <w:pPr>
        <w:pStyle w:val="37"/>
        <w:ind w:left="0" w:firstLine="480" w:firstLineChars="200"/>
      </w:pPr>
      <w:r>
        <w:rPr>
          <w:bCs/>
        </w:rPr>
        <w:t>随着国家对燃煤电厂烟气NO</w:t>
      </w:r>
      <w:r>
        <w:rPr>
          <w:bCs/>
          <w:vertAlign w:val="subscript"/>
        </w:rPr>
        <w:t>x</w:t>
      </w:r>
      <w:r>
        <w:rPr>
          <w:bCs/>
        </w:rPr>
        <w:t xml:space="preserve">排放的控制要求，需要在烟气中喷加尿素或者氨水，这就导致粉煤灰表面会存留部分硫酸氢铵，粉煤灰铵含量升高导致粉煤灰板结、附着料仓、异常气味、混凝土拌合物含气量高、体积膨胀和强度下降等问题，且氨气的缓慢挥发造成水泥混凝土建筑物室内的氨气污染，影响作业人员身体安全。目前我国的火电厂已基本完成脱硝改造，工程中采购粉煤灰基本为脱硝粉煤灰。因此有必要对超细粉煤灰的铵离子含量作限定，参照GB/T </w:t>
      </w:r>
      <w:r>
        <w:rPr>
          <w:rFonts w:hint="eastAsia"/>
          <w:bCs/>
        </w:rPr>
        <w:t>1596</w:t>
      </w:r>
      <w:r>
        <w:rPr>
          <w:bCs/>
        </w:rPr>
        <w:t>-20</w:t>
      </w:r>
      <w:r>
        <w:rPr>
          <w:rFonts w:hint="eastAsia"/>
          <w:bCs/>
        </w:rPr>
        <w:t>17</w:t>
      </w:r>
      <w:r>
        <w:rPr>
          <w:bCs/>
        </w:rPr>
        <w:t>《用于水泥和混凝土中的粉煤灰》国家标准</w:t>
      </w:r>
      <w:r>
        <w:rPr>
          <w:rFonts w:hint="eastAsia"/>
          <w:bCs/>
        </w:rPr>
        <w:t>第1号修改单</w:t>
      </w:r>
      <w:r>
        <w:rPr>
          <w:bCs/>
        </w:rPr>
        <w:t>，限定</w:t>
      </w:r>
      <w:r>
        <w:rPr>
          <w:rFonts w:hint="eastAsia"/>
          <w:bCs/>
        </w:rPr>
        <w:t>物理改性</w:t>
      </w:r>
      <w:r>
        <w:rPr>
          <w:bCs/>
        </w:rPr>
        <w:t>粉煤灰铵离子含量不大于210mg/kg。</w:t>
      </w:r>
    </w:p>
    <w:p w14:paraId="32D1B6BC">
      <w:pPr>
        <w:pStyle w:val="37"/>
        <w:numPr>
          <w:ilvl w:val="3"/>
          <w:numId w:val="1"/>
        </w:numPr>
        <w:ind w:firstLine="482" w:firstLineChars="200"/>
        <w:outlineLvl w:val="3"/>
        <w:rPr>
          <w:b/>
          <w:bCs/>
        </w:rPr>
      </w:pPr>
      <w:r>
        <w:rPr>
          <w:b/>
          <w:bCs/>
        </w:rPr>
        <w:t>需水量比</w:t>
      </w:r>
    </w:p>
    <w:p w14:paraId="13C385D0">
      <w:pPr>
        <w:pStyle w:val="37"/>
        <w:ind w:left="0" w:firstLine="480" w:firstLineChars="200"/>
      </w:pPr>
      <w:r>
        <w:t>需水量比和流动度比是评价矿物掺合料流变性及工作性能变化的重要表征方式。</w:t>
      </w:r>
      <w:r>
        <w:rPr>
          <w:rFonts w:hint="eastAsia"/>
        </w:rPr>
        <w:t>物理改性</w:t>
      </w:r>
      <w:r>
        <w:t>粉煤灰较常规粉煤灰的</w:t>
      </w:r>
      <w:r>
        <w:rPr>
          <w:rFonts w:hint="eastAsia"/>
        </w:rPr>
        <w:t>玻璃微珠完好率更高，颗粒表面更光滑，浆体剪切阻力更小，需水量比更低。</w:t>
      </w:r>
      <w:r>
        <w:t>经</w:t>
      </w:r>
      <w:r>
        <w:rPr>
          <w:rFonts w:hint="eastAsia"/>
        </w:rPr>
        <w:t>研磨整形</w:t>
      </w:r>
      <w:r>
        <w:t>后，部分粉煤灰球状微珠会被粉磨成不规则的粗糙表面结构，但</w:t>
      </w:r>
      <w:r>
        <w:rPr>
          <w:rFonts w:hint="eastAsia"/>
        </w:rPr>
        <w:t>由于其细度较小，</w:t>
      </w:r>
      <w:r>
        <w:t>能</w:t>
      </w:r>
      <w:r>
        <w:rPr>
          <w:rFonts w:hint="eastAsia"/>
        </w:rPr>
        <w:t>够通过</w:t>
      </w:r>
      <w:r>
        <w:t>填充于胶凝材料体系的孔隙之中，释放出更多的自由水，并没有增加体系的用水量。考虑到</w:t>
      </w:r>
      <w:r>
        <w:rPr>
          <w:rFonts w:hint="eastAsia"/>
        </w:rPr>
        <w:t>需水量</w:t>
      </w:r>
      <w:r>
        <w:t>比能直接表征</w:t>
      </w:r>
      <w:r>
        <w:rPr>
          <w:rFonts w:hint="eastAsia"/>
        </w:rPr>
        <w:t>物理改性</w:t>
      </w:r>
      <w:r>
        <w:t>粉煤灰的</w:t>
      </w:r>
      <w:r>
        <w:rPr>
          <w:rFonts w:hint="eastAsia"/>
        </w:rPr>
        <w:t>自身</w:t>
      </w:r>
      <w:r>
        <w:t>性能，本文件选用</w:t>
      </w:r>
      <w:r>
        <w:rPr>
          <w:rFonts w:hint="eastAsia"/>
        </w:rPr>
        <w:t>需水量</w:t>
      </w:r>
      <w:r>
        <w:t>比。经过研究，本文件规定</w:t>
      </w:r>
      <w:r>
        <w:rPr>
          <w:rFonts w:hint="eastAsia"/>
        </w:rPr>
        <w:t>需水量</w:t>
      </w:r>
      <w:r>
        <w:t>比不</w:t>
      </w:r>
      <w:r>
        <w:rPr>
          <w:rFonts w:hint="eastAsia"/>
        </w:rPr>
        <w:t>大</w:t>
      </w:r>
      <w:r>
        <w:t>于</w:t>
      </w:r>
      <w:r>
        <w:rPr>
          <w:rFonts w:hint="eastAsia"/>
        </w:rPr>
        <w:t>95</w:t>
      </w:r>
      <w:r>
        <w:t>%。</w:t>
      </w:r>
    </w:p>
    <w:p w14:paraId="650EA336">
      <w:pPr>
        <w:pStyle w:val="37"/>
        <w:numPr>
          <w:ilvl w:val="3"/>
          <w:numId w:val="1"/>
        </w:numPr>
        <w:ind w:firstLine="482" w:firstLineChars="200"/>
        <w:outlineLvl w:val="3"/>
        <w:rPr>
          <w:b/>
          <w:bCs/>
        </w:rPr>
      </w:pPr>
      <w:r>
        <w:rPr>
          <w:b/>
          <w:bCs/>
        </w:rPr>
        <w:t>含水量</w:t>
      </w:r>
    </w:p>
    <w:p w14:paraId="5479BDF7">
      <w:pPr>
        <w:pStyle w:val="37"/>
        <w:ind w:left="0" w:firstLine="480" w:firstLineChars="200"/>
      </w:pPr>
      <w:r>
        <w:t>含水量会影响超细粉煤灰的储存、运输等。参照相关矿物掺合料标准要求，规定含水量不大于1.0%。</w:t>
      </w:r>
    </w:p>
    <w:p w14:paraId="22370905">
      <w:pPr>
        <w:rPr>
          <w:b/>
          <w:bCs/>
        </w:rPr>
      </w:pPr>
      <w:r>
        <w:rPr>
          <w:b/>
          <w:bCs/>
        </w:rPr>
        <w:br w:type="page"/>
      </w:r>
    </w:p>
    <w:p w14:paraId="3F6CCC51">
      <w:pPr>
        <w:pStyle w:val="37"/>
        <w:numPr>
          <w:ilvl w:val="3"/>
          <w:numId w:val="1"/>
        </w:numPr>
        <w:ind w:firstLine="482" w:firstLineChars="200"/>
        <w:outlineLvl w:val="3"/>
        <w:rPr>
          <w:b/>
          <w:bCs/>
        </w:rPr>
      </w:pPr>
      <w:r>
        <w:rPr>
          <w:b/>
          <w:bCs/>
        </w:rPr>
        <w:t>密度</w:t>
      </w:r>
    </w:p>
    <w:p w14:paraId="7D4AE5A7">
      <w:pPr>
        <w:pStyle w:val="37"/>
        <w:ind w:left="0" w:firstLine="480" w:firstLineChars="200"/>
      </w:pPr>
      <w:r>
        <w:t>粉煤灰</w:t>
      </w:r>
      <w:r>
        <w:rPr>
          <w:rFonts w:hint="eastAsia"/>
        </w:rPr>
        <w:t>中</w:t>
      </w:r>
      <w:r>
        <w:t>含有大量玻璃微珠，密度通常</w:t>
      </w:r>
      <w:r>
        <w:rPr>
          <w:rFonts w:hint="eastAsia"/>
        </w:rPr>
        <w:t>为</w:t>
      </w:r>
      <w:r>
        <w:t>1.77</w:t>
      </w:r>
      <w:r>
        <w:rPr>
          <w:rFonts w:hint="eastAsia"/>
        </w:rPr>
        <w:t>~</w:t>
      </w:r>
      <w:r>
        <w:t>2.43g/cm³</w:t>
      </w:r>
      <w:r>
        <w:rPr>
          <w:rFonts w:hint="eastAsia"/>
        </w:rPr>
        <w:t>。若粉煤灰中空心玻璃微珠（</w:t>
      </w:r>
      <w:r>
        <w:t>空心</w:t>
      </w:r>
      <w:r>
        <w:rPr>
          <w:rFonts w:hint="eastAsia"/>
        </w:rPr>
        <w:t>漂珠）含量高，密度偏低、需水量比小、工作性好；若粉煤灰中沉珠（密实微珠）、富铁颗粒或残碳含量高，密度会偏大。明确粉煤灰密度范围有助于准确计算每方混凝土中各组分体积，控制含气量和水胶比。</w:t>
      </w:r>
      <w:r>
        <w:t>经试验研究和实际调研，本文件</w:t>
      </w:r>
      <w:r>
        <w:rPr>
          <w:rFonts w:hint="eastAsia"/>
        </w:rPr>
        <w:t>规定物理改性</w:t>
      </w:r>
      <w:r>
        <w:t>粉煤灰</w:t>
      </w:r>
      <w:r>
        <w:rPr>
          <w:rFonts w:hint="eastAsia"/>
        </w:rPr>
        <w:t>的密度</w:t>
      </w:r>
      <w:r>
        <w:t>不</w:t>
      </w:r>
      <w:r>
        <w:rPr>
          <w:rFonts w:hint="eastAsia"/>
        </w:rPr>
        <w:t>大于2.6</w:t>
      </w:r>
      <w:r>
        <w:t>g/cm³。</w:t>
      </w:r>
    </w:p>
    <w:p w14:paraId="49C34C82">
      <w:pPr>
        <w:pStyle w:val="37"/>
        <w:numPr>
          <w:ilvl w:val="3"/>
          <w:numId w:val="1"/>
        </w:numPr>
        <w:ind w:firstLine="482" w:firstLineChars="200"/>
        <w:outlineLvl w:val="3"/>
        <w:rPr>
          <w:b/>
          <w:bCs/>
        </w:rPr>
      </w:pPr>
      <w:r>
        <w:rPr>
          <w:b/>
          <w:bCs/>
        </w:rPr>
        <w:t>强度活性指数</w:t>
      </w:r>
    </w:p>
    <w:p w14:paraId="0EF33575">
      <w:pPr>
        <w:pStyle w:val="37"/>
        <w:ind w:left="0" w:firstLine="480" w:firstLineChars="200"/>
      </w:pPr>
      <w:r>
        <w:rPr>
          <w:rFonts w:hint="eastAsia"/>
        </w:rPr>
        <w:t>强度</w:t>
      </w:r>
      <w:r>
        <w:t>活性指数是体现</w:t>
      </w:r>
      <w:r>
        <w:rPr>
          <w:rFonts w:hint="eastAsia"/>
        </w:rPr>
        <w:t>物理改性</w:t>
      </w:r>
      <w:r>
        <w:t>粉煤灰作为掺合料胶凝活性的重要技术指标，经</w:t>
      </w:r>
      <w:r>
        <w:rPr>
          <w:rFonts w:hint="eastAsia"/>
        </w:rPr>
        <w:t>研磨整形</w:t>
      </w:r>
      <w:r>
        <w:t>处理后的粉煤灰活性可以得到显著提升。根据</w:t>
      </w:r>
      <w:r>
        <w:rPr>
          <w:rFonts w:hint="eastAsia"/>
        </w:rPr>
        <w:t>物理改性</w:t>
      </w:r>
      <w:r>
        <w:t>粉煤灰产品调研情况，本文件</w:t>
      </w:r>
      <w:r>
        <w:rPr>
          <w:rFonts w:hint="eastAsia"/>
        </w:rPr>
        <w:t>规定物理改性</w:t>
      </w:r>
      <w:r>
        <w:t>粉煤灰</w:t>
      </w:r>
      <w:r>
        <w:rPr>
          <w:rFonts w:hint="eastAsia"/>
        </w:rPr>
        <w:t>的强度</w:t>
      </w:r>
      <w:r>
        <w:t>活性</w:t>
      </w:r>
      <w:r>
        <w:rPr>
          <w:rFonts w:hint="eastAsia"/>
        </w:rPr>
        <w:t>指数</w:t>
      </w:r>
      <w:r>
        <w:t>不小于80%。</w:t>
      </w:r>
    </w:p>
    <w:p w14:paraId="48ABF852">
      <w:pPr>
        <w:pStyle w:val="37"/>
        <w:numPr>
          <w:ilvl w:val="3"/>
          <w:numId w:val="1"/>
        </w:numPr>
        <w:ind w:firstLine="482" w:firstLineChars="200"/>
        <w:outlineLvl w:val="3"/>
        <w:rPr>
          <w:b/>
          <w:bCs/>
        </w:rPr>
      </w:pPr>
      <w:r>
        <w:rPr>
          <w:b/>
          <w:bCs/>
        </w:rPr>
        <w:t>烧失量</w:t>
      </w:r>
    </w:p>
    <w:p w14:paraId="39C1D63E">
      <w:pPr>
        <w:pStyle w:val="37"/>
        <w:ind w:left="0" w:firstLine="480" w:firstLineChars="200"/>
      </w:pPr>
      <w:r>
        <w:rPr>
          <w:rFonts w:hint="eastAsia"/>
        </w:rPr>
        <w:t>物理改性</w:t>
      </w:r>
      <w:r>
        <w:t>粉煤灰烧失量主要是反映在含碳量上，含碳量越高，烧失量越大，烧失量过大会对</w:t>
      </w:r>
      <w:r>
        <w:rPr>
          <w:rFonts w:hint="eastAsia"/>
        </w:rPr>
        <w:t>物理改性</w:t>
      </w:r>
      <w:r>
        <w:t>粉煤灰的应用产生很大的负面影响，如导致水泥与外加剂的适应性变差、混凝土需水量或外加剂掺量增大等问题。随着我国燃煤电厂工艺技术水平的提高，粉煤灰的烧失量都普遍降低，经调研，粉煤灰的烧失量大多数能控制在5%以下，本文件规定</w:t>
      </w:r>
      <w:r>
        <w:rPr>
          <w:rFonts w:hint="eastAsia"/>
        </w:rPr>
        <w:t>物理改性</w:t>
      </w:r>
      <w:r>
        <w:t>粉煤灰的烧失量不大于5%。</w:t>
      </w:r>
    </w:p>
    <w:p w14:paraId="22BBA2FF">
      <w:pPr>
        <w:pStyle w:val="37"/>
        <w:numPr>
          <w:ilvl w:val="3"/>
          <w:numId w:val="1"/>
        </w:numPr>
        <w:ind w:firstLine="482" w:firstLineChars="200"/>
        <w:outlineLvl w:val="3"/>
        <w:rPr>
          <w:b/>
          <w:bCs/>
        </w:rPr>
      </w:pPr>
      <w:r>
        <w:rPr>
          <w:b/>
          <w:bCs/>
        </w:rPr>
        <w:t>三氧化硫（SO</w:t>
      </w:r>
      <w:r>
        <w:rPr>
          <w:b/>
          <w:bCs/>
          <w:vertAlign w:val="subscript"/>
        </w:rPr>
        <w:t>3</w:t>
      </w:r>
      <w:r>
        <w:rPr>
          <w:b/>
          <w:bCs/>
        </w:rPr>
        <w:t>）质量分数</w:t>
      </w:r>
    </w:p>
    <w:p w14:paraId="364C51CB">
      <w:pPr>
        <w:pStyle w:val="37"/>
        <w:ind w:left="0" w:firstLine="480" w:firstLineChars="200"/>
      </w:pPr>
      <w:r>
        <w:t>含硫量过高会导致混凝土在服役过程中产生膨胀开裂等问题，影响建筑结构安全和耐久性。为防止在生产中掺入含硫原材料，本文件设置三氧化硫（SO</w:t>
      </w:r>
      <w:r>
        <w:rPr>
          <w:vertAlign w:val="subscript"/>
        </w:rPr>
        <w:t>3</w:t>
      </w:r>
      <w:r>
        <w:t>）指标，经研究，本文件规定三氧化硫</w:t>
      </w:r>
      <w:r>
        <w:rPr>
          <w:rFonts w:hint="eastAsia"/>
        </w:rPr>
        <w:t>质量分数</w:t>
      </w:r>
      <w:r>
        <w:t>不大于3%。</w:t>
      </w:r>
    </w:p>
    <w:p w14:paraId="6634D8CC">
      <w:pPr>
        <w:pStyle w:val="37"/>
        <w:numPr>
          <w:ilvl w:val="3"/>
          <w:numId w:val="1"/>
        </w:numPr>
        <w:ind w:firstLine="482" w:firstLineChars="200"/>
        <w:outlineLvl w:val="3"/>
        <w:rPr>
          <w:b/>
          <w:bCs/>
        </w:rPr>
      </w:pPr>
      <w:r>
        <w:rPr>
          <w:b/>
          <w:bCs/>
        </w:rPr>
        <w:t>游离氧化钙（f-CaO）</w:t>
      </w:r>
    </w:p>
    <w:p w14:paraId="573ECDE8">
      <w:pPr>
        <w:pStyle w:val="37"/>
        <w:ind w:left="0" w:firstLine="480" w:firstLineChars="200"/>
      </w:pPr>
      <w:r>
        <w:t>粉煤灰的生产过程可能会带入游离氧化钙，游离氧化钙水化生产氢氧化钙，体积增大1.98倍，很多研究表明这是导致粉煤灰安定性不良的重要因素。经试验研究和实际调研，本文件规定</w:t>
      </w:r>
      <w:r>
        <w:rPr>
          <w:rFonts w:hint="eastAsia"/>
        </w:rPr>
        <w:t>F类物理改性</w:t>
      </w:r>
      <w:r>
        <w:t>粉煤灰游离氧化钙含量不</w:t>
      </w:r>
      <w:r>
        <w:rPr>
          <w:rFonts w:hint="eastAsia"/>
        </w:rPr>
        <w:t>大于</w:t>
      </w:r>
      <w:r>
        <w:t>1%，</w:t>
      </w:r>
      <w:r>
        <w:rPr>
          <w:rFonts w:hint="eastAsia"/>
        </w:rPr>
        <w:t>C类物理改性</w:t>
      </w:r>
      <w:r>
        <w:t>粉煤灰游离氧化钙含量不</w:t>
      </w:r>
      <w:r>
        <w:rPr>
          <w:rFonts w:hint="eastAsia"/>
        </w:rPr>
        <w:t>大于4</w:t>
      </w:r>
      <w:r>
        <w:t>%。</w:t>
      </w:r>
    </w:p>
    <w:p w14:paraId="4722FC7A">
      <w:pPr>
        <w:pStyle w:val="37"/>
        <w:numPr>
          <w:ilvl w:val="3"/>
          <w:numId w:val="1"/>
        </w:numPr>
        <w:ind w:firstLine="482" w:firstLineChars="200"/>
        <w:outlineLvl w:val="3"/>
        <w:rPr>
          <w:b/>
          <w:bCs/>
        </w:rPr>
      </w:pPr>
      <w:r>
        <w:rPr>
          <w:b/>
          <w:bCs/>
        </w:rPr>
        <w:t>二氧化硅（SiO</w:t>
      </w:r>
      <w:r>
        <w:rPr>
          <w:b/>
          <w:bCs/>
          <w:vertAlign w:val="subscript"/>
        </w:rPr>
        <w:t>2</w:t>
      </w:r>
      <w:r>
        <w:rPr>
          <w:b/>
          <w:bCs/>
        </w:rPr>
        <w:t>）、三氧化二铝（Al</w:t>
      </w:r>
      <w:r>
        <w:rPr>
          <w:b/>
          <w:bCs/>
          <w:vertAlign w:val="subscript"/>
        </w:rPr>
        <w:t>3</w:t>
      </w:r>
      <w:r>
        <w:rPr>
          <w:b/>
          <w:bCs/>
        </w:rPr>
        <w:t>O</w:t>
      </w:r>
      <w:r>
        <w:rPr>
          <w:b/>
          <w:bCs/>
          <w:vertAlign w:val="subscript"/>
        </w:rPr>
        <w:t>2</w:t>
      </w:r>
      <w:r>
        <w:rPr>
          <w:b/>
          <w:bCs/>
        </w:rPr>
        <w:t>）和三氧化二铁（Fe</w:t>
      </w:r>
      <w:r>
        <w:rPr>
          <w:b/>
          <w:bCs/>
          <w:vertAlign w:val="subscript"/>
        </w:rPr>
        <w:t>2</w:t>
      </w:r>
      <w:r>
        <w:rPr>
          <w:b/>
          <w:bCs/>
        </w:rPr>
        <w:t>O</w:t>
      </w:r>
      <w:r>
        <w:rPr>
          <w:b/>
          <w:bCs/>
          <w:vertAlign w:val="subscript"/>
        </w:rPr>
        <w:t>3</w:t>
      </w:r>
      <w:r>
        <w:rPr>
          <w:b/>
          <w:bCs/>
        </w:rPr>
        <w:t>）总质量分数</w:t>
      </w:r>
    </w:p>
    <w:p w14:paraId="4A7FFD7F">
      <w:pPr>
        <w:pStyle w:val="37"/>
        <w:ind w:left="0" w:firstLine="480" w:firstLineChars="200"/>
        <w:rPr>
          <w:rFonts w:hint="eastAsia"/>
        </w:rPr>
      </w:pPr>
      <w:r>
        <w:t>SiO₂和Al₂O₃是粉煤灰发挥火山灰效应的关键活性成分</w:t>
      </w:r>
      <w:r>
        <w:rPr>
          <w:rFonts w:hint="eastAsia"/>
        </w:rPr>
        <w:t>，</w:t>
      </w:r>
      <w:r>
        <w:t>它们能与水泥水化产生的Ca(OH)₂发生二次水化反应，生成水化硅酸钙（C-S-H）凝胶，从而提高混凝土后期强度和密实性。Fe₂O₃虽活性较低，但有助于降低</w:t>
      </w:r>
      <w:r>
        <w:rPr>
          <w:rFonts w:hint="eastAsia"/>
        </w:rPr>
        <w:t>粉煤灰</w:t>
      </w:r>
      <w:r>
        <w:t>熔融温度、促进形成玻璃微珠（改善需水量比和流动性）。三者总量越高，代表有效活性物质占比越高，粉煤灰作为矿物掺合料的技术价值越有保障</w:t>
      </w:r>
      <w:r>
        <w:rPr>
          <w:rFonts w:hint="eastAsia"/>
        </w:rPr>
        <w:t>。</w:t>
      </w:r>
      <w:r>
        <w:t>经试验研究和实际调研，本文件规定</w:t>
      </w:r>
      <w:r>
        <w:rPr>
          <w:rFonts w:hint="eastAsia"/>
        </w:rPr>
        <w:t>F类物理改性</w:t>
      </w:r>
      <w:r>
        <w:t>粉煤灰</w:t>
      </w:r>
      <w:r>
        <w:rPr>
          <w:rFonts w:hint="eastAsia"/>
        </w:rPr>
        <w:t>的</w:t>
      </w:r>
      <w:r>
        <w:t>SiO</w:t>
      </w:r>
      <w:r>
        <w:rPr>
          <w:vertAlign w:val="subscript"/>
        </w:rPr>
        <w:t>2</w:t>
      </w:r>
      <w:r>
        <w:t>、Al</w:t>
      </w:r>
      <w:r>
        <w:rPr>
          <w:vertAlign w:val="subscript"/>
        </w:rPr>
        <w:t>3</w:t>
      </w:r>
      <w:r>
        <w:t>O</w:t>
      </w:r>
      <w:r>
        <w:rPr>
          <w:vertAlign w:val="subscript"/>
        </w:rPr>
        <w:t>2</w:t>
      </w:r>
      <w:r>
        <w:t>和Fe</w:t>
      </w:r>
      <w:r>
        <w:rPr>
          <w:vertAlign w:val="subscript"/>
        </w:rPr>
        <w:t>2</w:t>
      </w:r>
      <w:r>
        <w:t>O</w:t>
      </w:r>
      <w:r>
        <w:rPr>
          <w:vertAlign w:val="subscript"/>
        </w:rPr>
        <w:t>3</w:t>
      </w:r>
      <w:r>
        <w:t>总质量分数</w:t>
      </w:r>
      <w:r>
        <w:rPr>
          <w:rFonts w:hint="eastAsia"/>
        </w:rPr>
        <w:t>不小于70</w:t>
      </w:r>
      <w:r>
        <w:t>%，</w:t>
      </w:r>
      <w:r>
        <w:rPr>
          <w:rFonts w:hint="eastAsia"/>
        </w:rPr>
        <w:t>C类物理改性</w:t>
      </w:r>
      <w:r>
        <w:t>粉煤灰</w:t>
      </w:r>
      <w:r>
        <w:rPr>
          <w:rFonts w:hint="eastAsia"/>
        </w:rPr>
        <w:t>则</w:t>
      </w:r>
      <w:r>
        <w:t>不</w:t>
      </w:r>
      <w:r>
        <w:rPr>
          <w:rFonts w:hint="eastAsia"/>
        </w:rPr>
        <w:t>小于50</w:t>
      </w:r>
      <w:r>
        <w:t>%。</w:t>
      </w:r>
    </w:p>
    <w:p w14:paraId="73297FFD">
      <w:pPr>
        <w:pStyle w:val="37"/>
        <w:numPr>
          <w:ilvl w:val="3"/>
          <w:numId w:val="1"/>
        </w:numPr>
        <w:ind w:firstLine="482" w:firstLineChars="200"/>
        <w:outlineLvl w:val="3"/>
        <w:rPr>
          <w:b/>
          <w:bCs/>
        </w:rPr>
      </w:pPr>
      <w:r>
        <w:rPr>
          <w:b/>
          <w:bCs/>
        </w:rPr>
        <w:t>安定性</w:t>
      </w:r>
    </w:p>
    <w:p w14:paraId="577F077E">
      <w:pPr>
        <w:pStyle w:val="37"/>
        <w:ind w:left="0" w:firstLine="480" w:firstLineChars="200"/>
      </w:pPr>
      <w:r>
        <w:t>水泥安定性不合格，一般是由于水泥中的游离氧化钙、游离氧化镁或掺入的石膏过多等原因所造成的。水泥中掺入</w:t>
      </w:r>
      <w:r>
        <w:rPr>
          <w:rFonts w:hint="eastAsia"/>
        </w:rPr>
        <w:t>物理改性</w:t>
      </w:r>
      <w:r>
        <w:t>粉煤灰会带入游离氧化钙及三氧化硫，为保证</w:t>
      </w:r>
      <w:r>
        <w:rPr>
          <w:rFonts w:hint="eastAsia"/>
        </w:rPr>
        <w:t>物理改性</w:t>
      </w:r>
      <w:r>
        <w:t>粉煤灰的使用安全性，需保证其安定性合格。参照GB/T 1346中的雷氏夹法进行，试验结果不大于5.0mm为安定性合格。</w:t>
      </w:r>
    </w:p>
    <w:p w14:paraId="676B6D52">
      <w:pPr>
        <w:pStyle w:val="37"/>
        <w:numPr>
          <w:ilvl w:val="3"/>
          <w:numId w:val="1"/>
        </w:numPr>
        <w:ind w:firstLine="482" w:firstLineChars="200"/>
        <w:outlineLvl w:val="3"/>
        <w:rPr>
          <w:b/>
          <w:bCs/>
        </w:rPr>
      </w:pPr>
      <w:r>
        <w:rPr>
          <w:rFonts w:hint="eastAsia"/>
          <w:b/>
          <w:bCs/>
        </w:rPr>
        <w:t>放射性</w:t>
      </w:r>
    </w:p>
    <w:p w14:paraId="082431CE">
      <w:pPr>
        <w:pStyle w:val="37"/>
        <w:ind w:left="0" w:firstLine="480" w:firstLineChars="200"/>
        <w:rPr>
          <w:rFonts w:hint="eastAsia"/>
        </w:rPr>
      </w:pPr>
      <w:r>
        <w:rPr>
          <w:bCs/>
        </w:rPr>
        <w:t>参照GB 6566中建筑主体材料规定要求，同时满足I</w:t>
      </w:r>
      <w:r>
        <w:rPr>
          <w:bCs/>
          <w:vertAlign w:val="subscript"/>
        </w:rPr>
        <w:t>ra</w:t>
      </w:r>
      <w:r>
        <w:rPr>
          <w:bCs/>
        </w:rPr>
        <w:t>≤1.0和I</w:t>
      </w:r>
      <w:r>
        <w:rPr>
          <w:bCs/>
          <w:vertAlign w:val="subscript"/>
        </w:rPr>
        <w:t>γ</w:t>
      </w:r>
      <w:r>
        <w:rPr>
          <w:bCs/>
        </w:rPr>
        <w:t>≤1.0为放射性合格。</w:t>
      </w:r>
    </w:p>
    <w:p w14:paraId="60C1D648">
      <w:pPr>
        <w:pStyle w:val="37"/>
        <w:numPr>
          <w:ilvl w:val="0"/>
          <w:numId w:val="1"/>
        </w:numPr>
        <w:ind w:firstLine="482" w:firstLineChars="200"/>
        <w:outlineLvl w:val="0"/>
        <w:rPr>
          <w:b/>
          <w:bCs/>
          <w:highlight w:val="yellow"/>
        </w:rPr>
      </w:pPr>
      <w:r>
        <w:rPr>
          <w:b/>
          <w:bCs/>
          <w:highlight w:val="yellow"/>
        </w:rPr>
        <w:t>试验验证情况分析</w:t>
      </w:r>
      <w:r>
        <w:rPr>
          <w:rFonts w:hint="eastAsia"/>
          <w:b/>
          <w:bCs/>
          <w:highlight w:val="yellow"/>
        </w:rPr>
        <w:t>（验证试验完成后编制）</w:t>
      </w:r>
    </w:p>
    <w:p w14:paraId="3DAC4308">
      <w:pPr>
        <w:pStyle w:val="37"/>
        <w:ind w:left="0" w:firstLine="480" w:firstLineChars="200"/>
      </w:pPr>
      <w:r>
        <w:t>为最大限度保证标准的科学性、适用性和合理性，在全国范围内广泛征集了试验所需的</w:t>
      </w:r>
      <w:r>
        <w:rPr>
          <w:rFonts w:hint="eastAsia"/>
        </w:rPr>
        <w:t>物理改性</w:t>
      </w:r>
      <w:r>
        <w:t>粉煤灰样品。标准编制组研究讨论确定了样品提供单位及样品检测单位，并制定了详细的验证试验方案，进行了大量验证试验。</w:t>
      </w:r>
    </w:p>
    <w:p w14:paraId="1CFCB9F7">
      <w:pPr>
        <w:pStyle w:val="37"/>
        <w:numPr>
          <w:ilvl w:val="1"/>
          <w:numId w:val="1"/>
        </w:numPr>
        <w:ind w:firstLine="482" w:firstLineChars="200"/>
        <w:outlineLvl w:val="1"/>
        <w:rPr>
          <w:b/>
          <w:bCs/>
        </w:rPr>
      </w:pPr>
      <w:r>
        <w:rPr>
          <w:b/>
          <w:bCs/>
        </w:rPr>
        <w:t>验证试验样品提供单位和检验单位</w:t>
      </w:r>
    </w:p>
    <w:p w14:paraId="3CEB8C6F">
      <w:pPr>
        <w:pStyle w:val="37"/>
        <w:ind w:left="0" w:firstLine="480" w:firstLineChars="200"/>
      </w:pPr>
      <w:r>
        <w:t>编制组在</w:t>
      </w:r>
      <w:r>
        <w:rPr>
          <w:rFonts w:hint="eastAsia"/>
        </w:rPr>
        <w:t>XX等XX</w:t>
      </w:r>
      <w:r>
        <w:t>个省份取样</w:t>
      </w:r>
      <w:r>
        <w:rPr>
          <w:rFonts w:hint="eastAsia"/>
        </w:rPr>
        <w:t>XX</w:t>
      </w:r>
      <w:r>
        <w:t>个，分别编号1~</w:t>
      </w:r>
      <w:r>
        <w:rPr>
          <w:rFonts w:hint="eastAsia"/>
        </w:rPr>
        <w:t>XX</w:t>
      </w:r>
      <w:r>
        <w:t>，其中1~</w:t>
      </w:r>
      <w:r>
        <w:rPr>
          <w:rFonts w:hint="eastAsia"/>
        </w:rPr>
        <w:t>XX</w:t>
      </w:r>
      <w:r>
        <w:t>为企业工业化生产的</w:t>
      </w:r>
      <w:r>
        <w:rPr>
          <w:rFonts w:hint="eastAsia"/>
        </w:rPr>
        <w:t>物理改性</w:t>
      </w:r>
      <w:r>
        <w:t>粉煤灰产品，</w:t>
      </w:r>
      <w:r>
        <w:rPr>
          <w:rFonts w:hint="eastAsia"/>
        </w:rPr>
        <w:t>XX</w:t>
      </w:r>
      <w:r>
        <w:t>~</w:t>
      </w:r>
      <w:r>
        <w:rPr>
          <w:rFonts w:hint="eastAsia"/>
        </w:rPr>
        <w:t>XX</w:t>
      </w:r>
      <w:r>
        <w:t>为试验室</w:t>
      </w:r>
      <w:r>
        <w:rPr>
          <w:rFonts w:hint="eastAsia"/>
        </w:rPr>
        <w:t>研磨整形</w:t>
      </w:r>
      <w:r>
        <w:t>得到的</w:t>
      </w:r>
      <w:r>
        <w:rPr>
          <w:rFonts w:hint="eastAsia"/>
        </w:rPr>
        <w:t>物理改性</w:t>
      </w:r>
      <w:r>
        <w:t>粉煤灰样品，样品信息如表</w:t>
      </w:r>
      <w:r>
        <w:rPr>
          <w:rFonts w:hint="eastAsia"/>
          <w:lang w:val="en-US" w:eastAsia="zh-CN"/>
        </w:rPr>
        <w:t>XX</w:t>
      </w:r>
      <w:r>
        <w:t>，工业化生产的</w:t>
      </w:r>
      <w:r>
        <w:rPr>
          <w:rFonts w:hint="eastAsia"/>
        </w:rPr>
        <w:t>物理改性</w:t>
      </w:r>
      <w:r>
        <w:t>粉煤灰样品生产原料为分选后的粗灰或原灰，本标准试验验证单位共计</w:t>
      </w:r>
      <w:r>
        <w:rPr>
          <w:rFonts w:hint="eastAsia"/>
        </w:rPr>
        <w:t>XX</w:t>
      </w:r>
      <w:r>
        <w:t>家，详见表</w:t>
      </w:r>
      <w:r>
        <w:rPr>
          <w:rFonts w:hint="eastAsia"/>
          <w:lang w:val="en-US" w:eastAsia="zh-CN"/>
        </w:rPr>
        <w:t>XX</w:t>
      </w:r>
      <w:r>
        <w:t>。</w:t>
      </w:r>
    </w:p>
    <w:p w14:paraId="706DBC36">
      <w:pPr>
        <w:pStyle w:val="37"/>
        <w:numPr>
          <w:ilvl w:val="1"/>
          <w:numId w:val="1"/>
        </w:numPr>
        <w:ind w:firstLine="482" w:firstLineChars="200"/>
        <w:outlineLvl w:val="1"/>
        <w:rPr>
          <w:b/>
          <w:bCs/>
        </w:rPr>
      </w:pPr>
      <w:r>
        <w:rPr>
          <w:b/>
          <w:bCs/>
        </w:rPr>
        <w:t>原材料基本性能分析</w:t>
      </w:r>
    </w:p>
    <w:p w14:paraId="1DC4A89D">
      <w:pPr>
        <w:pStyle w:val="37"/>
        <w:ind w:left="0" w:firstLine="480" w:firstLineChars="200"/>
      </w:pPr>
    </w:p>
    <w:p w14:paraId="3F91CA8C">
      <w:pPr>
        <w:pStyle w:val="37"/>
        <w:numPr>
          <w:ilvl w:val="1"/>
          <w:numId w:val="1"/>
        </w:numPr>
        <w:ind w:firstLine="482" w:firstLineChars="200"/>
        <w:outlineLvl w:val="1"/>
        <w:rPr>
          <w:b/>
          <w:bCs/>
        </w:rPr>
      </w:pPr>
      <w:r>
        <w:rPr>
          <w:b/>
          <w:bCs/>
        </w:rPr>
        <w:t>试验验证结果与分析</w:t>
      </w:r>
    </w:p>
    <w:p w14:paraId="2BFCB5E8">
      <w:pPr>
        <w:pStyle w:val="37"/>
        <w:ind w:left="0" w:firstLine="480" w:firstLineChars="200"/>
      </w:pPr>
      <w:r>
        <w:rPr>
          <w:rFonts w:hint="eastAsia"/>
        </w:rPr>
        <w:t>检测2.2.5技术要求中的指标并分析。</w:t>
      </w:r>
    </w:p>
    <w:p w14:paraId="161FE000">
      <w:pPr>
        <w:pStyle w:val="37"/>
        <w:ind w:left="0" w:firstLine="480" w:firstLineChars="200"/>
      </w:pPr>
    </w:p>
    <w:p w14:paraId="53F976C8">
      <w:pPr>
        <w:rPr>
          <w:b/>
          <w:bCs/>
        </w:rPr>
      </w:pPr>
      <w:r>
        <w:rPr>
          <w:b/>
          <w:bCs/>
        </w:rPr>
        <w:br w:type="page"/>
      </w:r>
    </w:p>
    <w:p w14:paraId="31E00551">
      <w:pPr>
        <w:pStyle w:val="37"/>
        <w:numPr>
          <w:ilvl w:val="0"/>
          <w:numId w:val="1"/>
        </w:numPr>
        <w:ind w:firstLine="482" w:firstLineChars="200"/>
        <w:outlineLvl w:val="0"/>
        <w:rPr>
          <w:b/>
          <w:bCs/>
        </w:rPr>
      </w:pPr>
      <w:r>
        <w:rPr>
          <w:b/>
          <w:bCs/>
        </w:rPr>
        <w:t>标准中所涉及的专利</w:t>
      </w:r>
    </w:p>
    <w:p w14:paraId="16E4C7D0">
      <w:pPr>
        <w:pStyle w:val="37"/>
        <w:ind w:left="0" w:firstLine="480" w:firstLineChars="200"/>
      </w:pPr>
      <w:r>
        <w:rPr>
          <w:rFonts w:hint="eastAsia"/>
        </w:rPr>
        <w:t>厦门艾思欧标准砂有限公司已申请1件发明专利“</w:t>
      </w:r>
      <w:r>
        <w:t>一种物理改性粉煤灰及其制备方法</w:t>
      </w:r>
      <w:r>
        <w:rPr>
          <w:rFonts w:hint="eastAsia"/>
        </w:rPr>
        <w:t>（申请号</w:t>
      </w:r>
      <w:r>
        <w:t>CN202211503602.X</w:t>
      </w:r>
      <w:r>
        <w:rPr>
          <w:rFonts w:hint="eastAsia"/>
        </w:rPr>
        <w:t>）”，于2024年5月14日实质审查生效。</w:t>
      </w:r>
    </w:p>
    <w:p w14:paraId="36C9288A">
      <w:pPr>
        <w:pStyle w:val="37"/>
        <w:ind w:left="0" w:firstLine="480" w:firstLineChars="200"/>
      </w:pPr>
      <w:r>
        <w:rPr>
          <w:rFonts w:hint="eastAsia"/>
        </w:rPr>
        <w:t>经</w:t>
      </w:r>
      <w:r>
        <w:t>资料查询</w:t>
      </w:r>
      <w:r>
        <w:rPr>
          <w:rFonts w:hint="eastAsia"/>
        </w:rPr>
        <w:t>、</w:t>
      </w:r>
      <w:r>
        <w:t>网上征询和征求意见阶段反馈的信息，直至今日尚未发现标准内容有关</w:t>
      </w:r>
      <w:r>
        <w:rPr>
          <w:rFonts w:hint="eastAsia"/>
        </w:rPr>
        <w:t>其他</w:t>
      </w:r>
      <w:r>
        <w:t>专利所有权的请求。</w:t>
      </w:r>
    </w:p>
    <w:p w14:paraId="4BE8D766">
      <w:pPr>
        <w:pStyle w:val="37"/>
        <w:numPr>
          <w:ilvl w:val="0"/>
          <w:numId w:val="1"/>
        </w:numPr>
        <w:ind w:firstLine="482" w:firstLineChars="200"/>
        <w:outlineLvl w:val="0"/>
        <w:rPr>
          <w:b/>
          <w:bCs/>
        </w:rPr>
      </w:pPr>
      <w:r>
        <w:rPr>
          <w:b/>
          <w:bCs/>
        </w:rPr>
        <w:t>产业化情况、推广应用论证和预期达到的经济效果等情况</w:t>
      </w:r>
    </w:p>
    <w:p w14:paraId="0D9D0DBC">
      <w:pPr>
        <w:pStyle w:val="37"/>
        <w:ind w:left="0" w:firstLine="480" w:firstLineChars="200"/>
      </w:pPr>
      <w:r>
        <w:rPr>
          <w:rFonts w:hint="eastAsia"/>
        </w:rPr>
        <w:t>物理改性粉煤灰</w:t>
      </w:r>
      <w:r>
        <w:t>作为活性混合材料用于水泥混凝土中，可替代</w:t>
      </w:r>
      <w:r>
        <w:rPr>
          <w:rFonts w:hint="eastAsia"/>
        </w:rPr>
        <w:t>约</w:t>
      </w:r>
      <w:r>
        <w:t>20%的水泥熟料</w:t>
      </w:r>
      <w:r>
        <w:rPr>
          <w:rFonts w:hint="eastAsia"/>
        </w:rPr>
        <w:t>，减少水泥用量，</w:t>
      </w:r>
      <w:r>
        <w:t>改善水泥混凝土工作性能，提高密实度，</w:t>
      </w:r>
      <w:r>
        <w:rPr>
          <w:rFonts w:hint="eastAsia"/>
        </w:rPr>
        <w:t>提升</w:t>
      </w:r>
      <w:r>
        <w:t>混凝土的耐久性能。</w:t>
      </w:r>
      <w:r>
        <w:rPr>
          <w:rFonts w:hint="eastAsia"/>
        </w:rPr>
        <w:t>自2020年以来，厦门艾思欧标准砂有限公司自主开发的新型干法节能型立式研磨整形装备用于粉煤灰物理改性，该技术先后在福建、宁夏、乌海和浙江地区落地转化，物理改性粉煤灰</w:t>
      </w:r>
      <w:r>
        <w:t>产能快速增长</w:t>
      </w:r>
      <w:r>
        <w:rPr>
          <w:rFonts w:hint="eastAsia"/>
        </w:rPr>
        <w:t>。</w:t>
      </w:r>
      <w:r>
        <w:t>截止到目前，</w:t>
      </w:r>
      <w:r>
        <w:rPr>
          <w:rFonts w:hint="eastAsia"/>
        </w:rPr>
        <w:t>已建立</w:t>
      </w:r>
      <w:r>
        <w:t>福建能化、宁夏建材、乌海西水和浙江能源</w:t>
      </w:r>
      <w:r>
        <w:rPr>
          <w:rFonts w:hint="eastAsia"/>
        </w:rPr>
        <w:t>共4条年产30万吨/年示范生产线，现已实现稳定生产，并在浙江省能源集团有限公司、大唐国际发电股份有限公司、福能新材（泉州）有限公司、宁夏建材集团股份有限公司等数十家企业开展实际应用，</w:t>
      </w:r>
      <w:r>
        <w:t>应用效果在众多实践中得到验证。</w:t>
      </w:r>
    </w:p>
    <w:p w14:paraId="3F24C493">
      <w:pPr>
        <w:pStyle w:val="37"/>
        <w:ind w:left="0" w:firstLine="480" w:firstLineChars="200"/>
      </w:pPr>
      <w:r>
        <w:t>在</w:t>
      </w:r>
      <w:r>
        <w:rPr>
          <w:rFonts w:hint="eastAsia"/>
        </w:rPr>
        <w:t>“</w:t>
      </w:r>
      <w:r>
        <w:t>双碳</w:t>
      </w:r>
      <w:r>
        <w:rPr>
          <w:rFonts w:hint="eastAsia"/>
        </w:rPr>
        <w:t>”</w:t>
      </w:r>
      <w:r>
        <w:t>目标驱动下，国家高度重视粉煤灰等大宗工业固体废弃物的综合利用与高值化利用。2021年3月，国家发改委等十部委联合发布《关于</w:t>
      </w:r>
      <w:r>
        <w:rPr>
          <w:rFonts w:hint="eastAsia"/>
        </w:rPr>
        <w:t>“</w:t>
      </w:r>
      <w:r>
        <w:t>十四五</w:t>
      </w:r>
      <w:r>
        <w:rPr>
          <w:rFonts w:hint="eastAsia"/>
        </w:rPr>
        <w:t>”</w:t>
      </w:r>
      <w:r>
        <w:t>大宗固体废弃物综合利用的指导意见》，明确到2025年新增大宗固废综合利用率达到60%，持续提高粉煤灰在绿色建材、充填及生态修复等领域的利用水平；2021年5月，国家发展改革委办公厅发布《关于开展大宗固体废弃物综合利用示范的通知》，提出到2025年建设50个大宗固废综合利用示范基地，培育50家综合利用骨干企业；2021年10月，国务院印发了《2030年前碳达峰行动方案》，在建材行业碳达峰中提出鼓励建材企业使用粉煤灰、工业废渣、尾矿渣等作为原料或水泥混合材</w:t>
      </w:r>
      <w:r>
        <w:rPr>
          <w:rFonts w:hint="eastAsia"/>
        </w:rPr>
        <w:t>；</w:t>
      </w:r>
      <w:r>
        <w:t>2024年2月，国务院办公厅印发《关于加快构建废弃物循环利用体系的意见》，进一步提出尾矿、粉煤灰、煤矸石、冶炼渣、工业副产石膏等大宗固体废弃物年利用量达到40亿吨的目标，支持大宗固废综合利用示范基地和工业资源综合利用基地集聚化发展</w:t>
      </w:r>
      <w:r>
        <w:rPr>
          <w:rFonts w:hint="eastAsia"/>
        </w:rPr>
        <w:t>；2026年1月，国务院发布《固体废物综合治理行动计划》，提出</w:t>
      </w:r>
      <w:r>
        <w:t>到2030年，大宗固废年综合利用量达到45亿吨，主要再生资源年循环利用量达到5.1亿吨。</w:t>
      </w:r>
    </w:p>
    <w:p w14:paraId="2638BA44">
      <w:pPr>
        <w:pStyle w:val="37"/>
        <w:ind w:left="0" w:firstLine="480" w:firstLineChars="200"/>
      </w:pPr>
      <w:r>
        <w:t>在系列政策引导和产业激励下，</w:t>
      </w:r>
      <w:r>
        <w:rPr>
          <w:rFonts w:hint="eastAsia"/>
        </w:rPr>
        <w:t>厦门艾思欧标准砂有限公司积极开展粉煤灰等工业固废的提质增效与高值化利用攻关，通过新型干法节能型立式研磨整形技术生产的物理改性粉煤灰已入选《福建省新材料新产品目录（第一批）》（2024年）。但目前行业内仍普遍参照GB/T 1596-2017《用于水泥和混凝土中的粉煤灰》对产品性能进行判定，该标准主要针对原状（未改性）粉煤灰设定技术指标，未涵盖物理改性粉煤灰特有的玻璃微珠完好率、颗粒形貌（圆形度、长径比）、粒径分布等关键技术要求，难以对物理改性粉煤灰的高效应用形成有效指导。</w:t>
      </w:r>
    </w:p>
    <w:p w14:paraId="7E9884AD">
      <w:pPr>
        <w:pStyle w:val="37"/>
        <w:ind w:left="0" w:firstLine="480" w:firstLineChars="200"/>
      </w:pPr>
      <w:r>
        <w:rPr>
          <w:rFonts w:hint="eastAsia"/>
        </w:rPr>
        <w:t>本标准的制定与发布实施，将填补物理改性粉煤灰产品技术要求与试验方法的空白，使产品在理论上有据可依、应用上更加科学、施工上更加规范、工程质量更有保障。本标准的推行将有效提升我国粉煤灰等工业固废资源化再利用水平，促进绿色高性能混凝土和低碳循环建材产业发展，预计可带动相关产线技改与市场投资，并形成可观的碳减排效益及潜在碳市场交易价值。</w:t>
      </w:r>
    </w:p>
    <w:p w14:paraId="696DD540">
      <w:pPr>
        <w:pStyle w:val="37"/>
        <w:numPr>
          <w:ilvl w:val="0"/>
          <w:numId w:val="1"/>
        </w:numPr>
        <w:ind w:firstLine="482" w:firstLineChars="200"/>
        <w:outlineLvl w:val="0"/>
        <w:rPr>
          <w:b/>
          <w:bCs/>
        </w:rPr>
      </w:pPr>
      <w:r>
        <w:rPr>
          <w:b/>
          <w:bCs/>
        </w:rPr>
        <w:t>采用国际标准和国外先进标准情况</w:t>
      </w:r>
    </w:p>
    <w:p w14:paraId="5E11C440">
      <w:pPr>
        <w:pStyle w:val="37"/>
        <w:ind w:left="0" w:firstLine="480" w:firstLineChars="200"/>
      </w:pPr>
      <w:r>
        <w:t>本标准没有采用相关国际和国外标准</w:t>
      </w:r>
      <w:r>
        <w:rPr>
          <w:rFonts w:hint="eastAsia"/>
        </w:rPr>
        <w:t>。</w:t>
      </w:r>
    </w:p>
    <w:p w14:paraId="7C53B8A5">
      <w:pPr>
        <w:pStyle w:val="37"/>
        <w:numPr>
          <w:ilvl w:val="0"/>
          <w:numId w:val="1"/>
        </w:numPr>
        <w:ind w:firstLine="482" w:firstLineChars="200"/>
        <w:outlineLvl w:val="0"/>
        <w:rPr>
          <w:b/>
          <w:bCs/>
        </w:rPr>
      </w:pPr>
      <w:r>
        <w:rPr>
          <w:b/>
          <w:bCs/>
        </w:rPr>
        <w:t>与现行的相关法律、法规、规章及相关标准（包括强制性标准）的协调性</w:t>
      </w:r>
    </w:p>
    <w:p w14:paraId="2BE0EBC9">
      <w:pPr>
        <w:pStyle w:val="37"/>
        <w:ind w:left="0" w:firstLine="480" w:firstLineChars="200"/>
      </w:pPr>
      <w:r>
        <w:t>经调研，本标准符合现行的相关法律、法规、规章及相关标准（包括强制性标准）的要求，并具有协调一致性。目前，国内相关标准有GB/T 1596-2017《用于水泥和混凝土中的粉煤灰》。GB/T 1596中对粉煤灰的</w:t>
      </w:r>
      <w:r>
        <w:rPr>
          <w:rFonts w:hint="eastAsia"/>
        </w:rPr>
        <w:t>玻璃微珠完好率、颗粒形貌（圆形度、长径比）、粒径分布（D50、D90）</w:t>
      </w:r>
      <w:r>
        <w:t>不做要求，不能体现</w:t>
      </w:r>
      <w:r>
        <w:rPr>
          <w:rFonts w:hint="eastAsia"/>
        </w:rPr>
        <w:t>物理改性</w:t>
      </w:r>
      <w:r>
        <w:t>粉煤灰的产品特性。本标准是对现行标准体系的补充，与其他相关标准没有冲突。</w:t>
      </w:r>
    </w:p>
    <w:p w14:paraId="6023B162">
      <w:pPr>
        <w:rPr>
          <w:rFonts w:hint="eastAsia" w:ascii="Times New Roman" w:hAnsi="Times New Roman" w:eastAsia="宋体"/>
          <w:sz w:val="24"/>
        </w:rPr>
      </w:pPr>
      <w:r>
        <w:rPr>
          <w:rFonts w:hint="eastAsia" w:ascii="Times New Roman" w:hAnsi="Times New Roman" w:eastAsia="宋体"/>
          <w:sz w:val="24"/>
        </w:rPr>
        <w:br w:type="page"/>
      </w:r>
    </w:p>
    <w:p w14:paraId="4D37E059">
      <w:pPr>
        <w:pStyle w:val="11"/>
        <w:keepNext/>
        <w:jc w:val="center"/>
        <w:rPr>
          <w:rFonts w:ascii="Times New Roman" w:hAnsi="Times New Roman" w:eastAsia="宋体"/>
          <w:sz w:val="24"/>
        </w:rPr>
      </w:pPr>
      <w:r>
        <w:rPr>
          <w:rFonts w:hint="eastAsia" w:ascii="Times New Roman" w:hAnsi="Times New Roman" w:eastAsia="宋体"/>
          <w:sz w:val="24"/>
        </w:rPr>
        <w:t>表</w:t>
      </w:r>
      <w:r>
        <w:rPr>
          <w:rFonts w:ascii="Times New Roman" w:hAnsi="Times New Roman" w:eastAsia="宋体"/>
          <w:sz w:val="24"/>
        </w:rPr>
        <w:fldChar w:fldCharType="begin"/>
      </w:r>
      <w:r>
        <w:rPr>
          <w:rFonts w:ascii="Times New Roman" w:hAnsi="Times New Roman" w:eastAsia="宋体"/>
          <w:sz w:val="24"/>
        </w:rPr>
        <w:instrText xml:space="preserve"> </w:instrText>
      </w:r>
      <w:r>
        <w:rPr>
          <w:rFonts w:hint="eastAsia" w:ascii="Times New Roman" w:hAnsi="Times New Roman" w:eastAsia="宋体"/>
          <w:sz w:val="24"/>
        </w:rPr>
        <w:instrText xml:space="preserve">SEQ 表 \* ARABIC</w:instrText>
      </w:r>
      <w:r>
        <w:rPr>
          <w:rFonts w:ascii="Times New Roman" w:hAnsi="Times New Roman" w:eastAsia="宋体"/>
          <w:sz w:val="24"/>
        </w:rPr>
        <w:instrText xml:space="preserve"> </w:instrText>
      </w:r>
      <w:r>
        <w:rPr>
          <w:rFonts w:ascii="Times New Roman" w:hAnsi="Times New Roman" w:eastAsia="宋体"/>
          <w:sz w:val="24"/>
        </w:rPr>
        <w:fldChar w:fldCharType="separate"/>
      </w:r>
      <w:r>
        <w:rPr>
          <w:rFonts w:ascii="Times New Roman" w:hAnsi="Times New Roman" w:eastAsia="宋体"/>
          <w:sz w:val="24"/>
        </w:rPr>
        <w:t>19</w:t>
      </w:r>
      <w:r>
        <w:rPr>
          <w:rFonts w:ascii="Times New Roman" w:hAnsi="Times New Roman" w:eastAsia="宋体"/>
          <w:sz w:val="24"/>
        </w:rPr>
        <w:fldChar w:fldCharType="end"/>
      </w:r>
      <w:r>
        <w:rPr>
          <w:rFonts w:hint="eastAsia" w:ascii="Times New Roman" w:hAnsi="Times New Roman" w:eastAsia="宋体"/>
          <w:sz w:val="24"/>
        </w:rPr>
        <w:t xml:space="preserve"> 本文件与其他标准对比情况</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57"/>
        <w:gridCol w:w="912"/>
        <w:gridCol w:w="872"/>
        <w:gridCol w:w="715"/>
        <w:gridCol w:w="708"/>
        <w:gridCol w:w="710"/>
        <w:gridCol w:w="1722"/>
      </w:tblGrid>
      <w:tr w14:paraId="672B1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 w:hRule="atLeast"/>
        </w:trPr>
        <w:tc>
          <w:tcPr>
            <w:tcW w:w="3569" w:type="dxa"/>
            <w:gridSpan w:val="2"/>
            <w:vMerge w:val="restart"/>
            <w:tcBorders>
              <w:top w:val="single" w:color="auto" w:sz="4" w:space="0"/>
              <w:left w:val="single" w:color="auto" w:sz="4" w:space="0"/>
              <w:right w:val="single" w:color="auto" w:sz="4" w:space="0"/>
            </w:tcBorders>
            <w:vAlign w:val="center"/>
          </w:tcPr>
          <w:p w14:paraId="4DBB1798">
            <w:pPr>
              <w:spacing w:line="240" w:lineRule="auto"/>
              <w:jc w:val="center"/>
              <w:rPr>
                <w:kern w:val="0"/>
                <w:sz w:val="21"/>
                <w:szCs w:val="21"/>
              </w:rPr>
            </w:pPr>
            <w:r>
              <w:rPr>
                <w:kern w:val="0"/>
                <w:sz w:val="21"/>
                <w:szCs w:val="21"/>
              </w:rPr>
              <w:t>项目</w:t>
            </w:r>
          </w:p>
        </w:tc>
        <w:tc>
          <w:tcPr>
            <w:tcW w:w="872" w:type="dxa"/>
            <w:vMerge w:val="restart"/>
            <w:tcBorders>
              <w:top w:val="single" w:color="auto" w:sz="4" w:space="0"/>
              <w:left w:val="nil"/>
              <w:right w:val="single" w:color="auto" w:sz="4" w:space="0"/>
            </w:tcBorders>
            <w:vAlign w:val="center"/>
          </w:tcPr>
          <w:p w14:paraId="1D850B6C">
            <w:pPr>
              <w:spacing w:line="240" w:lineRule="auto"/>
              <w:jc w:val="center"/>
              <w:rPr>
                <w:kern w:val="0"/>
                <w:sz w:val="21"/>
                <w:szCs w:val="21"/>
              </w:rPr>
            </w:pPr>
            <w:r>
              <w:rPr>
                <w:rFonts w:hint="eastAsia"/>
                <w:kern w:val="0"/>
                <w:sz w:val="21"/>
                <w:szCs w:val="21"/>
              </w:rPr>
              <w:t>本文件</w:t>
            </w:r>
          </w:p>
        </w:tc>
        <w:tc>
          <w:tcPr>
            <w:tcW w:w="2133" w:type="dxa"/>
            <w:gridSpan w:val="3"/>
            <w:tcBorders>
              <w:top w:val="single" w:color="auto" w:sz="4" w:space="0"/>
              <w:left w:val="nil"/>
              <w:bottom w:val="single" w:color="auto" w:sz="4" w:space="0"/>
              <w:right w:val="single" w:color="auto" w:sz="4" w:space="0"/>
            </w:tcBorders>
            <w:vAlign w:val="center"/>
          </w:tcPr>
          <w:p w14:paraId="1413E29D">
            <w:pPr>
              <w:spacing w:line="240" w:lineRule="auto"/>
              <w:jc w:val="center"/>
              <w:rPr>
                <w:kern w:val="0"/>
                <w:sz w:val="21"/>
                <w:szCs w:val="21"/>
              </w:rPr>
            </w:pPr>
            <w:r>
              <w:rPr>
                <w:kern w:val="0"/>
                <w:sz w:val="21"/>
                <w:szCs w:val="21"/>
              </w:rPr>
              <w:t>GB/T 1596-2017</w:t>
            </w:r>
          </w:p>
        </w:tc>
        <w:tc>
          <w:tcPr>
            <w:tcW w:w="1722" w:type="dxa"/>
            <w:vMerge w:val="restart"/>
            <w:tcBorders>
              <w:top w:val="single" w:color="auto" w:sz="4" w:space="0"/>
              <w:left w:val="nil"/>
              <w:right w:val="single" w:color="auto" w:sz="4" w:space="0"/>
            </w:tcBorders>
            <w:vAlign w:val="center"/>
          </w:tcPr>
          <w:p w14:paraId="59E9533C">
            <w:pPr>
              <w:spacing w:line="240" w:lineRule="auto"/>
              <w:jc w:val="center"/>
              <w:rPr>
                <w:kern w:val="0"/>
                <w:sz w:val="21"/>
                <w:szCs w:val="21"/>
              </w:rPr>
            </w:pPr>
            <w:r>
              <w:rPr>
                <w:kern w:val="0"/>
                <w:sz w:val="21"/>
                <w:szCs w:val="21"/>
              </w:rPr>
              <w:t>备注</w:t>
            </w:r>
          </w:p>
        </w:tc>
      </w:tr>
      <w:tr w14:paraId="03645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 w:hRule="atLeast"/>
        </w:trPr>
        <w:tc>
          <w:tcPr>
            <w:tcW w:w="3569" w:type="dxa"/>
            <w:gridSpan w:val="2"/>
            <w:vMerge w:val="continue"/>
            <w:tcBorders>
              <w:left w:val="single" w:color="auto" w:sz="4" w:space="0"/>
              <w:bottom w:val="single" w:color="auto" w:sz="4" w:space="0"/>
              <w:right w:val="single" w:color="auto" w:sz="4" w:space="0"/>
            </w:tcBorders>
            <w:vAlign w:val="center"/>
          </w:tcPr>
          <w:p w14:paraId="7B7C9696">
            <w:pPr>
              <w:spacing w:line="240" w:lineRule="auto"/>
              <w:jc w:val="center"/>
              <w:rPr>
                <w:kern w:val="0"/>
                <w:sz w:val="21"/>
                <w:szCs w:val="21"/>
              </w:rPr>
            </w:pPr>
          </w:p>
        </w:tc>
        <w:tc>
          <w:tcPr>
            <w:tcW w:w="872" w:type="dxa"/>
            <w:vMerge w:val="continue"/>
            <w:tcBorders>
              <w:left w:val="nil"/>
              <w:bottom w:val="single" w:color="auto" w:sz="4" w:space="0"/>
              <w:right w:val="single" w:color="auto" w:sz="4" w:space="0"/>
            </w:tcBorders>
            <w:vAlign w:val="center"/>
          </w:tcPr>
          <w:p w14:paraId="75A9E6B5">
            <w:pPr>
              <w:spacing w:line="240" w:lineRule="auto"/>
              <w:jc w:val="center"/>
              <w:rPr>
                <w:kern w:val="0"/>
                <w:sz w:val="21"/>
                <w:szCs w:val="21"/>
              </w:rPr>
            </w:pPr>
          </w:p>
        </w:tc>
        <w:tc>
          <w:tcPr>
            <w:tcW w:w="715" w:type="dxa"/>
            <w:tcBorders>
              <w:top w:val="single" w:color="auto" w:sz="4" w:space="0"/>
              <w:left w:val="nil"/>
              <w:bottom w:val="single" w:color="auto" w:sz="4" w:space="0"/>
              <w:right w:val="single" w:color="auto" w:sz="4" w:space="0"/>
            </w:tcBorders>
            <w:vAlign w:val="center"/>
          </w:tcPr>
          <w:p w14:paraId="1204B574">
            <w:pPr>
              <w:spacing w:line="240" w:lineRule="auto"/>
              <w:jc w:val="center"/>
              <w:rPr>
                <w:kern w:val="0"/>
                <w:sz w:val="21"/>
                <w:szCs w:val="21"/>
              </w:rPr>
            </w:pPr>
            <w:r>
              <w:rPr>
                <w:kern w:val="0"/>
                <w:sz w:val="21"/>
                <w:szCs w:val="21"/>
              </w:rPr>
              <w:t>I级</w:t>
            </w:r>
          </w:p>
        </w:tc>
        <w:tc>
          <w:tcPr>
            <w:tcW w:w="708" w:type="dxa"/>
            <w:tcBorders>
              <w:top w:val="single" w:color="auto" w:sz="4" w:space="0"/>
              <w:left w:val="nil"/>
              <w:bottom w:val="single" w:color="auto" w:sz="4" w:space="0"/>
              <w:right w:val="single" w:color="auto" w:sz="4" w:space="0"/>
            </w:tcBorders>
            <w:vAlign w:val="center"/>
          </w:tcPr>
          <w:p w14:paraId="59B1D4D1">
            <w:pPr>
              <w:spacing w:line="240" w:lineRule="auto"/>
              <w:jc w:val="center"/>
              <w:rPr>
                <w:kern w:val="0"/>
                <w:sz w:val="21"/>
                <w:szCs w:val="21"/>
              </w:rPr>
            </w:pPr>
            <w:r>
              <w:rPr>
                <w:kern w:val="0"/>
                <w:sz w:val="21"/>
                <w:szCs w:val="21"/>
              </w:rPr>
              <w:t>II级</w:t>
            </w:r>
          </w:p>
        </w:tc>
        <w:tc>
          <w:tcPr>
            <w:tcW w:w="710" w:type="dxa"/>
            <w:tcBorders>
              <w:top w:val="single" w:color="auto" w:sz="4" w:space="0"/>
              <w:left w:val="nil"/>
              <w:bottom w:val="single" w:color="auto" w:sz="4" w:space="0"/>
              <w:right w:val="single" w:color="auto" w:sz="4" w:space="0"/>
            </w:tcBorders>
            <w:vAlign w:val="center"/>
          </w:tcPr>
          <w:p w14:paraId="163E402D">
            <w:pPr>
              <w:spacing w:line="240" w:lineRule="auto"/>
              <w:jc w:val="center"/>
              <w:rPr>
                <w:kern w:val="0"/>
                <w:sz w:val="21"/>
                <w:szCs w:val="21"/>
              </w:rPr>
            </w:pPr>
            <w:r>
              <w:rPr>
                <w:kern w:val="0"/>
                <w:sz w:val="21"/>
                <w:szCs w:val="21"/>
              </w:rPr>
              <w:t>III级</w:t>
            </w:r>
          </w:p>
        </w:tc>
        <w:tc>
          <w:tcPr>
            <w:tcW w:w="1722" w:type="dxa"/>
            <w:vMerge w:val="continue"/>
            <w:tcBorders>
              <w:left w:val="nil"/>
              <w:bottom w:val="single" w:color="auto" w:sz="4" w:space="0"/>
              <w:right w:val="single" w:color="auto" w:sz="4" w:space="0"/>
            </w:tcBorders>
          </w:tcPr>
          <w:p w14:paraId="6D30C78D">
            <w:pPr>
              <w:spacing w:line="240" w:lineRule="auto"/>
              <w:jc w:val="center"/>
              <w:rPr>
                <w:kern w:val="0"/>
                <w:sz w:val="21"/>
                <w:szCs w:val="21"/>
              </w:rPr>
            </w:pPr>
          </w:p>
        </w:tc>
      </w:tr>
      <w:tr w14:paraId="284BF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3569" w:type="dxa"/>
            <w:gridSpan w:val="2"/>
            <w:tcBorders>
              <w:top w:val="single" w:color="auto" w:sz="4" w:space="0"/>
              <w:left w:val="single" w:color="auto" w:sz="4" w:space="0"/>
              <w:bottom w:val="single" w:color="auto" w:sz="4" w:space="0"/>
              <w:right w:val="single" w:color="auto" w:sz="4" w:space="0"/>
            </w:tcBorders>
            <w:vAlign w:val="center"/>
          </w:tcPr>
          <w:p w14:paraId="3B89E6D6">
            <w:pPr>
              <w:spacing w:line="240" w:lineRule="auto"/>
              <w:rPr>
                <w:kern w:val="0"/>
                <w:sz w:val="21"/>
                <w:szCs w:val="21"/>
              </w:rPr>
            </w:pPr>
            <w:r>
              <w:rPr>
                <w:kern w:val="0"/>
                <w:sz w:val="21"/>
                <w:szCs w:val="21"/>
              </w:rPr>
              <w:t>细度（45μm方孔筛筛余）/%</w:t>
            </w:r>
          </w:p>
        </w:tc>
        <w:tc>
          <w:tcPr>
            <w:tcW w:w="872" w:type="dxa"/>
            <w:tcBorders>
              <w:top w:val="single" w:color="auto" w:sz="4" w:space="0"/>
              <w:left w:val="nil"/>
              <w:bottom w:val="single" w:color="auto" w:sz="4" w:space="0"/>
              <w:right w:val="single" w:color="auto" w:sz="4" w:space="0"/>
            </w:tcBorders>
            <w:vAlign w:val="center"/>
          </w:tcPr>
          <w:p w14:paraId="34696786">
            <w:pPr>
              <w:spacing w:line="240" w:lineRule="auto"/>
              <w:jc w:val="center"/>
              <w:rPr>
                <w:kern w:val="0"/>
                <w:sz w:val="21"/>
                <w:szCs w:val="21"/>
              </w:rPr>
            </w:pPr>
            <w:r>
              <w:rPr>
                <w:kern w:val="0"/>
                <w:sz w:val="21"/>
                <w:szCs w:val="21"/>
              </w:rPr>
              <w:t>≤12.0</w:t>
            </w:r>
          </w:p>
        </w:tc>
        <w:tc>
          <w:tcPr>
            <w:tcW w:w="715" w:type="dxa"/>
            <w:tcBorders>
              <w:top w:val="single" w:color="auto" w:sz="4" w:space="0"/>
              <w:left w:val="nil"/>
              <w:bottom w:val="single" w:color="auto" w:sz="4" w:space="0"/>
              <w:right w:val="single" w:color="auto" w:sz="4" w:space="0"/>
            </w:tcBorders>
            <w:vAlign w:val="center"/>
          </w:tcPr>
          <w:p w14:paraId="4AB559F8">
            <w:pPr>
              <w:spacing w:line="240" w:lineRule="auto"/>
              <w:jc w:val="center"/>
              <w:rPr>
                <w:kern w:val="0"/>
                <w:sz w:val="21"/>
                <w:szCs w:val="21"/>
              </w:rPr>
            </w:pPr>
            <w:r>
              <w:rPr>
                <w:kern w:val="0"/>
                <w:sz w:val="21"/>
                <w:szCs w:val="21"/>
              </w:rPr>
              <w:t>≤12.0</w:t>
            </w:r>
          </w:p>
        </w:tc>
        <w:tc>
          <w:tcPr>
            <w:tcW w:w="708" w:type="dxa"/>
            <w:tcBorders>
              <w:top w:val="single" w:color="auto" w:sz="4" w:space="0"/>
              <w:left w:val="nil"/>
              <w:bottom w:val="single" w:color="auto" w:sz="4" w:space="0"/>
              <w:right w:val="single" w:color="auto" w:sz="4" w:space="0"/>
            </w:tcBorders>
            <w:vAlign w:val="center"/>
          </w:tcPr>
          <w:p w14:paraId="2A495437">
            <w:pPr>
              <w:spacing w:line="240" w:lineRule="auto"/>
              <w:jc w:val="center"/>
              <w:rPr>
                <w:kern w:val="0"/>
                <w:sz w:val="21"/>
                <w:szCs w:val="21"/>
              </w:rPr>
            </w:pPr>
            <w:r>
              <w:rPr>
                <w:kern w:val="0"/>
                <w:sz w:val="21"/>
                <w:szCs w:val="21"/>
              </w:rPr>
              <w:t>≤30.0</w:t>
            </w:r>
          </w:p>
        </w:tc>
        <w:tc>
          <w:tcPr>
            <w:tcW w:w="710" w:type="dxa"/>
            <w:tcBorders>
              <w:top w:val="single" w:color="auto" w:sz="4" w:space="0"/>
              <w:left w:val="nil"/>
              <w:bottom w:val="single" w:color="auto" w:sz="4" w:space="0"/>
              <w:right w:val="single" w:color="auto" w:sz="4" w:space="0"/>
            </w:tcBorders>
            <w:vAlign w:val="center"/>
          </w:tcPr>
          <w:p w14:paraId="5A3082A4">
            <w:pPr>
              <w:spacing w:line="240" w:lineRule="auto"/>
              <w:jc w:val="center"/>
              <w:rPr>
                <w:kern w:val="0"/>
                <w:sz w:val="21"/>
                <w:szCs w:val="21"/>
              </w:rPr>
            </w:pPr>
            <w:r>
              <w:rPr>
                <w:kern w:val="0"/>
                <w:sz w:val="21"/>
                <w:szCs w:val="21"/>
              </w:rPr>
              <w:t>≤45.0</w:t>
            </w:r>
          </w:p>
        </w:tc>
        <w:tc>
          <w:tcPr>
            <w:tcW w:w="1722" w:type="dxa"/>
            <w:tcBorders>
              <w:top w:val="single" w:color="auto" w:sz="4" w:space="0"/>
              <w:left w:val="nil"/>
              <w:bottom w:val="single" w:color="auto" w:sz="4" w:space="0"/>
              <w:right w:val="single" w:color="auto" w:sz="4" w:space="0"/>
            </w:tcBorders>
          </w:tcPr>
          <w:p w14:paraId="1210C46B">
            <w:pPr>
              <w:spacing w:line="240" w:lineRule="auto"/>
              <w:jc w:val="center"/>
              <w:rPr>
                <w:kern w:val="0"/>
                <w:sz w:val="21"/>
                <w:szCs w:val="21"/>
              </w:rPr>
            </w:pPr>
            <w:r>
              <w:rPr>
                <w:kern w:val="0"/>
                <w:sz w:val="21"/>
                <w:szCs w:val="21"/>
              </w:rPr>
              <w:t>严于国标要求</w:t>
            </w:r>
          </w:p>
        </w:tc>
      </w:tr>
      <w:tr w14:paraId="466FC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3569" w:type="dxa"/>
            <w:gridSpan w:val="2"/>
            <w:tcBorders>
              <w:top w:val="single" w:color="auto" w:sz="4" w:space="0"/>
              <w:left w:val="single" w:color="auto" w:sz="4" w:space="0"/>
              <w:bottom w:val="single" w:color="auto" w:sz="4" w:space="0"/>
              <w:right w:val="single" w:color="auto" w:sz="4" w:space="0"/>
            </w:tcBorders>
            <w:vAlign w:val="center"/>
          </w:tcPr>
          <w:p w14:paraId="04C91293">
            <w:pPr>
              <w:spacing w:line="240" w:lineRule="auto"/>
              <w:rPr>
                <w:kern w:val="0"/>
                <w:sz w:val="21"/>
                <w:szCs w:val="21"/>
              </w:rPr>
            </w:pPr>
            <w:r>
              <w:rPr>
                <w:kern w:val="0"/>
                <w:sz w:val="21"/>
                <w:szCs w:val="21"/>
              </w:rPr>
              <w:t>玻璃微珠完好率/%</w:t>
            </w:r>
          </w:p>
        </w:tc>
        <w:tc>
          <w:tcPr>
            <w:tcW w:w="872" w:type="dxa"/>
            <w:tcBorders>
              <w:top w:val="single" w:color="auto" w:sz="4" w:space="0"/>
              <w:left w:val="nil"/>
              <w:bottom w:val="single" w:color="auto" w:sz="4" w:space="0"/>
              <w:right w:val="single" w:color="auto" w:sz="4" w:space="0"/>
            </w:tcBorders>
            <w:vAlign w:val="center"/>
          </w:tcPr>
          <w:p w14:paraId="30DA5729">
            <w:pPr>
              <w:spacing w:line="240" w:lineRule="auto"/>
              <w:jc w:val="center"/>
              <w:rPr>
                <w:kern w:val="0"/>
                <w:sz w:val="21"/>
                <w:szCs w:val="21"/>
              </w:rPr>
            </w:pPr>
            <w:r>
              <w:rPr>
                <w:kern w:val="0"/>
                <w:sz w:val="21"/>
                <w:szCs w:val="21"/>
              </w:rPr>
              <w:t>≥80</w:t>
            </w:r>
          </w:p>
        </w:tc>
        <w:tc>
          <w:tcPr>
            <w:tcW w:w="2133" w:type="dxa"/>
            <w:gridSpan w:val="3"/>
            <w:tcBorders>
              <w:top w:val="single" w:color="auto" w:sz="4" w:space="0"/>
              <w:left w:val="nil"/>
              <w:bottom w:val="single" w:color="auto" w:sz="4" w:space="0"/>
              <w:right w:val="single" w:color="auto" w:sz="4" w:space="0"/>
            </w:tcBorders>
          </w:tcPr>
          <w:p w14:paraId="434E9DDB">
            <w:pPr>
              <w:spacing w:line="240" w:lineRule="auto"/>
              <w:jc w:val="center"/>
              <w:rPr>
                <w:kern w:val="0"/>
                <w:sz w:val="21"/>
                <w:szCs w:val="21"/>
              </w:rPr>
            </w:pPr>
            <w:r>
              <w:rPr>
                <w:kern w:val="0"/>
                <w:sz w:val="21"/>
                <w:szCs w:val="21"/>
              </w:rPr>
              <w:t>—</w:t>
            </w:r>
          </w:p>
        </w:tc>
        <w:tc>
          <w:tcPr>
            <w:tcW w:w="1722" w:type="dxa"/>
            <w:tcBorders>
              <w:top w:val="single" w:color="auto" w:sz="4" w:space="0"/>
              <w:left w:val="nil"/>
              <w:bottom w:val="single" w:color="auto" w:sz="4" w:space="0"/>
              <w:right w:val="single" w:color="auto" w:sz="4" w:space="0"/>
            </w:tcBorders>
          </w:tcPr>
          <w:p w14:paraId="3A0AABDB">
            <w:pPr>
              <w:spacing w:line="240" w:lineRule="auto"/>
              <w:jc w:val="center"/>
              <w:rPr>
                <w:kern w:val="0"/>
                <w:sz w:val="21"/>
                <w:szCs w:val="21"/>
              </w:rPr>
            </w:pPr>
            <w:r>
              <w:rPr>
                <w:kern w:val="0"/>
                <w:sz w:val="21"/>
                <w:szCs w:val="21"/>
              </w:rPr>
              <w:t>创新指标</w:t>
            </w:r>
          </w:p>
        </w:tc>
      </w:tr>
      <w:tr w14:paraId="06817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2657" w:type="dxa"/>
            <w:vMerge w:val="restart"/>
            <w:tcBorders>
              <w:top w:val="nil"/>
              <w:left w:val="single" w:color="auto" w:sz="4" w:space="0"/>
              <w:right w:val="single" w:color="auto" w:sz="4" w:space="0"/>
            </w:tcBorders>
            <w:vAlign w:val="center"/>
          </w:tcPr>
          <w:p w14:paraId="4A2A576D">
            <w:pPr>
              <w:spacing w:line="240" w:lineRule="auto"/>
              <w:rPr>
                <w:kern w:val="0"/>
                <w:sz w:val="21"/>
                <w:szCs w:val="21"/>
              </w:rPr>
            </w:pPr>
            <w:r>
              <w:rPr>
                <w:kern w:val="0"/>
                <w:sz w:val="21"/>
                <w:szCs w:val="21"/>
              </w:rPr>
              <w:t>颗粒形貌</w:t>
            </w:r>
          </w:p>
        </w:tc>
        <w:tc>
          <w:tcPr>
            <w:tcW w:w="912" w:type="dxa"/>
            <w:tcBorders>
              <w:top w:val="nil"/>
              <w:left w:val="single" w:color="auto" w:sz="4" w:space="0"/>
              <w:right w:val="single" w:color="auto" w:sz="4" w:space="0"/>
            </w:tcBorders>
            <w:vAlign w:val="center"/>
          </w:tcPr>
          <w:p w14:paraId="5568BA7A">
            <w:pPr>
              <w:spacing w:line="240" w:lineRule="auto"/>
              <w:rPr>
                <w:kern w:val="0"/>
                <w:sz w:val="21"/>
                <w:szCs w:val="21"/>
              </w:rPr>
            </w:pPr>
            <w:r>
              <w:rPr>
                <w:kern w:val="0"/>
                <w:sz w:val="21"/>
                <w:szCs w:val="21"/>
              </w:rPr>
              <w:t>圆形度</w:t>
            </w:r>
          </w:p>
        </w:tc>
        <w:tc>
          <w:tcPr>
            <w:tcW w:w="872" w:type="dxa"/>
            <w:tcBorders>
              <w:top w:val="nil"/>
              <w:left w:val="nil"/>
              <w:bottom w:val="single" w:color="auto" w:sz="4" w:space="0"/>
              <w:right w:val="single" w:color="auto" w:sz="4" w:space="0"/>
            </w:tcBorders>
            <w:vAlign w:val="center"/>
          </w:tcPr>
          <w:p w14:paraId="2DC6B7E8">
            <w:pPr>
              <w:spacing w:line="240" w:lineRule="auto"/>
              <w:jc w:val="center"/>
              <w:rPr>
                <w:kern w:val="0"/>
                <w:sz w:val="21"/>
                <w:szCs w:val="21"/>
              </w:rPr>
            </w:pPr>
            <w:r>
              <w:rPr>
                <w:kern w:val="0"/>
                <w:sz w:val="21"/>
                <w:szCs w:val="21"/>
              </w:rPr>
              <w:t>≥0.85</w:t>
            </w:r>
          </w:p>
        </w:tc>
        <w:tc>
          <w:tcPr>
            <w:tcW w:w="2133" w:type="dxa"/>
            <w:gridSpan w:val="3"/>
            <w:tcBorders>
              <w:top w:val="nil"/>
              <w:left w:val="nil"/>
              <w:bottom w:val="single" w:color="auto" w:sz="4" w:space="0"/>
              <w:right w:val="single" w:color="auto" w:sz="4" w:space="0"/>
            </w:tcBorders>
          </w:tcPr>
          <w:p w14:paraId="3B8A141A">
            <w:pPr>
              <w:spacing w:line="240" w:lineRule="auto"/>
              <w:jc w:val="center"/>
              <w:rPr>
                <w:kern w:val="0"/>
                <w:sz w:val="21"/>
                <w:szCs w:val="21"/>
              </w:rPr>
            </w:pPr>
            <w:r>
              <w:rPr>
                <w:kern w:val="0"/>
                <w:sz w:val="21"/>
                <w:szCs w:val="21"/>
              </w:rPr>
              <w:t>—</w:t>
            </w:r>
          </w:p>
        </w:tc>
        <w:tc>
          <w:tcPr>
            <w:tcW w:w="1722" w:type="dxa"/>
            <w:vMerge w:val="restart"/>
            <w:tcBorders>
              <w:top w:val="nil"/>
              <w:left w:val="nil"/>
              <w:right w:val="single" w:color="auto" w:sz="4" w:space="0"/>
            </w:tcBorders>
            <w:vAlign w:val="center"/>
          </w:tcPr>
          <w:p w14:paraId="3B31F499">
            <w:pPr>
              <w:spacing w:line="240" w:lineRule="auto"/>
              <w:jc w:val="center"/>
              <w:rPr>
                <w:kern w:val="0"/>
                <w:sz w:val="21"/>
                <w:szCs w:val="21"/>
              </w:rPr>
            </w:pPr>
            <w:r>
              <w:rPr>
                <w:kern w:val="0"/>
                <w:sz w:val="21"/>
                <w:szCs w:val="21"/>
              </w:rPr>
              <w:t>创新指标</w:t>
            </w:r>
          </w:p>
        </w:tc>
      </w:tr>
      <w:tr w14:paraId="018D9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2657" w:type="dxa"/>
            <w:vMerge w:val="continue"/>
            <w:tcBorders>
              <w:left w:val="single" w:color="auto" w:sz="4" w:space="0"/>
              <w:right w:val="single" w:color="auto" w:sz="4" w:space="0"/>
            </w:tcBorders>
            <w:vAlign w:val="center"/>
          </w:tcPr>
          <w:p w14:paraId="2F13F39F">
            <w:pPr>
              <w:spacing w:line="240" w:lineRule="auto"/>
              <w:rPr>
                <w:kern w:val="0"/>
                <w:sz w:val="21"/>
                <w:szCs w:val="21"/>
              </w:rPr>
            </w:pPr>
          </w:p>
        </w:tc>
        <w:tc>
          <w:tcPr>
            <w:tcW w:w="912" w:type="dxa"/>
            <w:tcBorders>
              <w:left w:val="single" w:color="auto" w:sz="4" w:space="0"/>
              <w:right w:val="single" w:color="auto" w:sz="4" w:space="0"/>
            </w:tcBorders>
            <w:vAlign w:val="center"/>
          </w:tcPr>
          <w:p w14:paraId="2B75EC49">
            <w:pPr>
              <w:spacing w:line="240" w:lineRule="auto"/>
              <w:rPr>
                <w:kern w:val="0"/>
                <w:sz w:val="21"/>
                <w:szCs w:val="21"/>
              </w:rPr>
            </w:pPr>
            <w:r>
              <w:rPr>
                <w:kern w:val="0"/>
                <w:sz w:val="21"/>
                <w:szCs w:val="21"/>
              </w:rPr>
              <w:t>长径比</w:t>
            </w:r>
          </w:p>
        </w:tc>
        <w:tc>
          <w:tcPr>
            <w:tcW w:w="872" w:type="dxa"/>
            <w:tcBorders>
              <w:top w:val="nil"/>
              <w:left w:val="nil"/>
              <w:bottom w:val="single" w:color="auto" w:sz="4" w:space="0"/>
              <w:right w:val="single" w:color="auto" w:sz="4" w:space="0"/>
            </w:tcBorders>
            <w:vAlign w:val="center"/>
          </w:tcPr>
          <w:p w14:paraId="65F677F8">
            <w:pPr>
              <w:spacing w:line="240" w:lineRule="auto"/>
              <w:jc w:val="center"/>
              <w:rPr>
                <w:kern w:val="0"/>
                <w:sz w:val="21"/>
                <w:szCs w:val="21"/>
              </w:rPr>
            </w:pPr>
            <w:r>
              <w:rPr>
                <w:kern w:val="0"/>
                <w:sz w:val="21"/>
                <w:szCs w:val="21"/>
              </w:rPr>
              <w:t>≤1.30</w:t>
            </w:r>
          </w:p>
        </w:tc>
        <w:tc>
          <w:tcPr>
            <w:tcW w:w="2133" w:type="dxa"/>
            <w:gridSpan w:val="3"/>
            <w:tcBorders>
              <w:top w:val="nil"/>
              <w:left w:val="nil"/>
              <w:bottom w:val="single" w:color="auto" w:sz="4" w:space="0"/>
              <w:right w:val="single" w:color="auto" w:sz="4" w:space="0"/>
            </w:tcBorders>
          </w:tcPr>
          <w:p w14:paraId="3B6561ED">
            <w:pPr>
              <w:spacing w:line="240" w:lineRule="auto"/>
              <w:jc w:val="center"/>
              <w:rPr>
                <w:kern w:val="0"/>
                <w:sz w:val="21"/>
                <w:szCs w:val="21"/>
              </w:rPr>
            </w:pPr>
            <w:r>
              <w:rPr>
                <w:kern w:val="0"/>
                <w:sz w:val="21"/>
                <w:szCs w:val="21"/>
              </w:rPr>
              <w:t>—</w:t>
            </w:r>
          </w:p>
        </w:tc>
        <w:tc>
          <w:tcPr>
            <w:tcW w:w="1722" w:type="dxa"/>
            <w:vMerge w:val="continue"/>
            <w:tcBorders>
              <w:left w:val="nil"/>
              <w:bottom w:val="single" w:color="auto" w:sz="4" w:space="0"/>
              <w:right w:val="single" w:color="auto" w:sz="4" w:space="0"/>
            </w:tcBorders>
          </w:tcPr>
          <w:p w14:paraId="3B6A8C1A">
            <w:pPr>
              <w:spacing w:line="240" w:lineRule="auto"/>
              <w:jc w:val="center"/>
              <w:rPr>
                <w:kern w:val="0"/>
                <w:sz w:val="21"/>
                <w:szCs w:val="21"/>
              </w:rPr>
            </w:pPr>
          </w:p>
        </w:tc>
      </w:tr>
      <w:tr w14:paraId="339FD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2657" w:type="dxa"/>
            <w:vMerge w:val="restart"/>
            <w:tcBorders>
              <w:left w:val="single" w:color="auto" w:sz="4" w:space="0"/>
              <w:right w:val="single" w:color="auto" w:sz="4" w:space="0"/>
            </w:tcBorders>
            <w:vAlign w:val="center"/>
          </w:tcPr>
          <w:p w14:paraId="2F857CF6">
            <w:pPr>
              <w:spacing w:line="240" w:lineRule="auto"/>
              <w:rPr>
                <w:kern w:val="0"/>
                <w:sz w:val="21"/>
                <w:szCs w:val="21"/>
              </w:rPr>
            </w:pPr>
            <w:r>
              <w:rPr>
                <w:kern w:val="0"/>
                <w:sz w:val="21"/>
                <w:szCs w:val="21"/>
              </w:rPr>
              <w:t>粒径分布</w:t>
            </w:r>
          </w:p>
        </w:tc>
        <w:tc>
          <w:tcPr>
            <w:tcW w:w="912" w:type="dxa"/>
            <w:tcBorders>
              <w:left w:val="single" w:color="auto" w:sz="4" w:space="0"/>
              <w:right w:val="single" w:color="auto" w:sz="4" w:space="0"/>
            </w:tcBorders>
            <w:vAlign w:val="center"/>
          </w:tcPr>
          <w:p w14:paraId="2F17BA24">
            <w:pPr>
              <w:spacing w:line="240" w:lineRule="auto"/>
              <w:rPr>
                <w:kern w:val="0"/>
                <w:sz w:val="21"/>
                <w:szCs w:val="21"/>
              </w:rPr>
            </w:pPr>
            <w:r>
              <w:rPr>
                <w:kern w:val="0"/>
                <w:sz w:val="21"/>
                <w:szCs w:val="21"/>
              </w:rPr>
              <w:t>D50/μm</w:t>
            </w:r>
          </w:p>
        </w:tc>
        <w:tc>
          <w:tcPr>
            <w:tcW w:w="872" w:type="dxa"/>
            <w:tcBorders>
              <w:top w:val="nil"/>
              <w:left w:val="nil"/>
              <w:bottom w:val="single" w:color="auto" w:sz="4" w:space="0"/>
              <w:right w:val="single" w:color="auto" w:sz="4" w:space="0"/>
            </w:tcBorders>
            <w:vAlign w:val="center"/>
          </w:tcPr>
          <w:p w14:paraId="3C4CD514">
            <w:pPr>
              <w:spacing w:line="240" w:lineRule="auto"/>
              <w:jc w:val="center"/>
              <w:rPr>
                <w:kern w:val="0"/>
                <w:sz w:val="21"/>
                <w:szCs w:val="21"/>
              </w:rPr>
            </w:pPr>
            <w:r>
              <w:rPr>
                <w:kern w:val="0"/>
                <w:sz w:val="21"/>
                <w:szCs w:val="21"/>
              </w:rPr>
              <w:t>≤15.00</w:t>
            </w:r>
          </w:p>
        </w:tc>
        <w:tc>
          <w:tcPr>
            <w:tcW w:w="2133" w:type="dxa"/>
            <w:gridSpan w:val="3"/>
            <w:tcBorders>
              <w:top w:val="nil"/>
              <w:left w:val="nil"/>
              <w:bottom w:val="single" w:color="auto" w:sz="4" w:space="0"/>
              <w:right w:val="single" w:color="auto" w:sz="4" w:space="0"/>
            </w:tcBorders>
          </w:tcPr>
          <w:p w14:paraId="6A9721DD">
            <w:pPr>
              <w:spacing w:line="240" w:lineRule="auto"/>
              <w:jc w:val="center"/>
              <w:rPr>
                <w:kern w:val="0"/>
                <w:sz w:val="21"/>
                <w:szCs w:val="21"/>
              </w:rPr>
            </w:pPr>
            <w:r>
              <w:rPr>
                <w:kern w:val="0"/>
                <w:sz w:val="21"/>
                <w:szCs w:val="21"/>
              </w:rPr>
              <w:t>—</w:t>
            </w:r>
          </w:p>
        </w:tc>
        <w:tc>
          <w:tcPr>
            <w:tcW w:w="1722" w:type="dxa"/>
            <w:vMerge w:val="restart"/>
            <w:tcBorders>
              <w:top w:val="nil"/>
              <w:left w:val="nil"/>
              <w:right w:val="single" w:color="auto" w:sz="4" w:space="0"/>
            </w:tcBorders>
            <w:vAlign w:val="center"/>
          </w:tcPr>
          <w:p w14:paraId="42FB0948">
            <w:pPr>
              <w:spacing w:line="240" w:lineRule="auto"/>
              <w:jc w:val="center"/>
              <w:rPr>
                <w:kern w:val="0"/>
                <w:sz w:val="21"/>
                <w:szCs w:val="21"/>
              </w:rPr>
            </w:pPr>
            <w:r>
              <w:rPr>
                <w:kern w:val="0"/>
                <w:sz w:val="21"/>
                <w:szCs w:val="21"/>
              </w:rPr>
              <w:t>创新指标</w:t>
            </w:r>
          </w:p>
        </w:tc>
      </w:tr>
      <w:tr w14:paraId="59A6BD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2657" w:type="dxa"/>
            <w:vMerge w:val="continue"/>
            <w:tcBorders>
              <w:left w:val="single" w:color="auto" w:sz="4" w:space="0"/>
              <w:bottom w:val="single" w:color="auto" w:sz="4" w:space="0"/>
              <w:right w:val="single" w:color="auto" w:sz="4" w:space="0"/>
            </w:tcBorders>
            <w:vAlign w:val="center"/>
          </w:tcPr>
          <w:p w14:paraId="16B4E797">
            <w:pPr>
              <w:spacing w:line="240" w:lineRule="auto"/>
              <w:rPr>
                <w:kern w:val="0"/>
                <w:sz w:val="21"/>
                <w:szCs w:val="21"/>
              </w:rPr>
            </w:pPr>
          </w:p>
        </w:tc>
        <w:tc>
          <w:tcPr>
            <w:tcW w:w="912" w:type="dxa"/>
            <w:tcBorders>
              <w:left w:val="single" w:color="auto" w:sz="4" w:space="0"/>
              <w:bottom w:val="single" w:color="auto" w:sz="4" w:space="0"/>
              <w:right w:val="single" w:color="auto" w:sz="4" w:space="0"/>
            </w:tcBorders>
            <w:vAlign w:val="center"/>
          </w:tcPr>
          <w:p w14:paraId="35254BC5">
            <w:pPr>
              <w:spacing w:line="240" w:lineRule="auto"/>
              <w:rPr>
                <w:kern w:val="0"/>
                <w:sz w:val="21"/>
                <w:szCs w:val="21"/>
              </w:rPr>
            </w:pPr>
            <w:r>
              <w:rPr>
                <w:kern w:val="0"/>
                <w:sz w:val="21"/>
                <w:szCs w:val="21"/>
              </w:rPr>
              <w:t>D90/μm</w:t>
            </w:r>
          </w:p>
        </w:tc>
        <w:tc>
          <w:tcPr>
            <w:tcW w:w="872" w:type="dxa"/>
            <w:tcBorders>
              <w:top w:val="nil"/>
              <w:left w:val="nil"/>
              <w:bottom w:val="single" w:color="auto" w:sz="4" w:space="0"/>
              <w:right w:val="single" w:color="auto" w:sz="4" w:space="0"/>
            </w:tcBorders>
            <w:vAlign w:val="center"/>
          </w:tcPr>
          <w:p w14:paraId="72D89C14">
            <w:pPr>
              <w:spacing w:line="240" w:lineRule="auto"/>
              <w:jc w:val="center"/>
              <w:rPr>
                <w:kern w:val="0"/>
                <w:sz w:val="21"/>
                <w:szCs w:val="21"/>
              </w:rPr>
            </w:pPr>
            <w:r>
              <w:rPr>
                <w:kern w:val="0"/>
                <w:sz w:val="21"/>
                <w:szCs w:val="21"/>
              </w:rPr>
              <w:t>≤45.00</w:t>
            </w:r>
          </w:p>
        </w:tc>
        <w:tc>
          <w:tcPr>
            <w:tcW w:w="2133" w:type="dxa"/>
            <w:gridSpan w:val="3"/>
            <w:tcBorders>
              <w:top w:val="nil"/>
              <w:left w:val="nil"/>
              <w:bottom w:val="single" w:color="auto" w:sz="4" w:space="0"/>
              <w:right w:val="single" w:color="auto" w:sz="4" w:space="0"/>
            </w:tcBorders>
          </w:tcPr>
          <w:p w14:paraId="7AE8B175">
            <w:pPr>
              <w:spacing w:line="240" w:lineRule="auto"/>
              <w:jc w:val="center"/>
              <w:rPr>
                <w:kern w:val="0"/>
                <w:sz w:val="21"/>
                <w:szCs w:val="21"/>
              </w:rPr>
            </w:pPr>
            <w:r>
              <w:rPr>
                <w:kern w:val="0"/>
                <w:sz w:val="21"/>
                <w:szCs w:val="21"/>
              </w:rPr>
              <w:t>—</w:t>
            </w:r>
          </w:p>
        </w:tc>
        <w:tc>
          <w:tcPr>
            <w:tcW w:w="1722" w:type="dxa"/>
            <w:vMerge w:val="continue"/>
            <w:tcBorders>
              <w:left w:val="nil"/>
              <w:bottom w:val="single" w:color="auto" w:sz="4" w:space="0"/>
              <w:right w:val="single" w:color="auto" w:sz="4" w:space="0"/>
            </w:tcBorders>
          </w:tcPr>
          <w:p w14:paraId="4BECE1FE">
            <w:pPr>
              <w:spacing w:line="240" w:lineRule="auto"/>
              <w:jc w:val="center"/>
              <w:rPr>
                <w:kern w:val="0"/>
                <w:sz w:val="21"/>
                <w:szCs w:val="21"/>
              </w:rPr>
            </w:pPr>
          </w:p>
        </w:tc>
      </w:tr>
      <w:tr w14:paraId="5697B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3569" w:type="dxa"/>
            <w:gridSpan w:val="2"/>
            <w:tcBorders>
              <w:left w:val="single" w:color="auto" w:sz="4" w:space="0"/>
              <w:bottom w:val="single" w:color="auto" w:sz="4" w:space="0"/>
              <w:right w:val="single" w:color="auto" w:sz="4" w:space="0"/>
            </w:tcBorders>
            <w:vAlign w:val="center"/>
          </w:tcPr>
          <w:p w14:paraId="6CB8AEED">
            <w:pPr>
              <w:spacing w:line="240" w:lineRule="auto"/>
              <w:rPr>
                <w:kern w:val="0"/>
                <w:sz w:val="21"/>
                <w:szCs w:val="21"/>
              </w:rPr>
            </w:pPr>
            <w:r>
              <w:rPr>
                <w:kern w:val="0"/>
                <w:sz w:val="21"/>
                <w:szCs w:val="21"/>
              </w:rPr>
              <w:t>铵离子含量/（mg/kg）</w:t>
            </w:r>
          </w:p>
        </w:tc>
        <w:tc>
          <w:tcPr>
            <w:tcW w:w="872" w:type="dxa"/>
            <w:tcBorders>
              <w:top w:val="nil"/>
              <w:left w:val="nil"/>
              <w:bottom w:val="single" w:color="auto" w:sz="4" w:space="0"/>
              <w:right w:val="single" w:color="auto" w:sz="4" w:space="0"/>
            </w:tcBorders>
            <w:vAlign w:val="center"/>
          </w:tcPr>
          <w:p w14:paraId="041B9B49">
            <w:pPr>
              <w:spacing w:line="240" w:lineRule="auto"/>
              <w:jc w:val="center"/>
              <w:rPr>
                <w:kern w:val="0"/>
                <w:sz w:val="21"/>
                <w:szCs w:val="21"/>
              </w:rPr>
            </w:pPr>
            <w:r>
              <w:rPr>
                <w:kern w:val="0"/>
                <w:sz w:val="21"/>
                <w:szCs w:val="21"/>
              </w:rPr>
              <w:t>≤210</w:t>
            </w:r>
          </w:p>
        </w:tc>
        <w:tc>
          <w:tcPr>
            <w:tcW w:w="2133" w:type="dxa"/>
            <w:gridSpan w:val="3"/>
            <w:tcBorders>
              <w:top w:val="nil"/>
              <w:left w:val="nil"/>
              <w:bottom w:val="single" w:color="auto" w:sz="4" w:space="0"/>
              <w:right w:val="single" w:color="auto" w:sz="4" w:space="0"/>
            </w:tcBorders>
          </w:tcPr>
          <w:p w14:paraId="3220E343">
            <w:pPr>
              <w:spacing w:line="240" w:lineRule="auto"/>
              <w:jc w:val="center"/>
              <w:rPr>
                <w:kern w:val="0"/>
                <w:sz w:val="21"/>
                <w:szCs w:val="21"/>
              </w:rPr>
            </w:pPr>
            <w:r>
              <w:rPr>
                <w:kern w:val="0"/>
                <w:sz w:val="21"/>
                <w:szCs w:val="21"/>
              </w:rPr>
              <w:t>—</w:t>
            </w:r>
          </w:p>
        </w:tc>
        <w:tc>
          <w:tcPr>
            <w:tcW w:w="1722" w:type="dxa"/>
            <w:tcBorders>
              <w:top w:val="nil"/>
              <w:left w:val="nil"/>
              <w:bottom w:val="single" w:color="auto" w:sz="4" w:space="0"/>
              <w:right w:val="single" w:color="auto" w:sz="4" w:space="0"/>
            </w:tcBorders>
          </w:tcPr>
          <w:p w14:paraId="32BB4D78">
            <w:pPr>
              <w:spacing w:line="240" w:lineRule="auto"/>
              <w:jc w:val="center"/>
              <w:rPr>
                <w:kern w:val="0"/>
                <w:sz w:val="21"/>
                <w:szCs w:val="21"/>
              </w:rPr>
            </w:pPr>
            <w:r>
              <w:rPr>
                <w:kern w:val="0"/>
                <w:sz w:val="21"/>
                <w:szCs w:val="21"/>
              </w:rPr>
              <w:t>严于国标要求</w:t>
            </w:r>
          </w:p>
        </w:tc>
      </w:tr>
      <w:tr w14:paraId="33AA1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3569" w:type="dxa"/>
            <w:gridSpan w:val="2"/>
            <w:tcBorders>
              <w:left w:val="single" w:color="auto" w:sz="4" w:space="0"/>
              <w:bottom w:val="single" w:color="auto" w:sz="4" w:space="0"/>
              <w:right w:val="single" w:color="auto" w:sz="4" w:space="0"/>
            </w:tcBorders>
            <w:vAlign w:val="center"/>
          </w:tcPr>
          <w:p w14:paraId="163C6801">
            <w:pPr>
              <w:spacing w:line="240" w:lineRule="auto"/>
              <w:rPr>
                <w:kern w:val="0"/>
                <w:sz w:val="21"/>
                <w:szCs w:val="21"/>
              </w:rPr>
            </w:pPr>
            <w:r>
              <w:rPr>
                <w:kern w:val="0"/>
                <w:sz w:val="21"/>
                <w:szCs w:val="21"/>
              </w:rPr>
              <w:t>需水量比/%</w:t>
            </w:r>
          </w:p>
        </w:tc>
        <w:tc>
          <w:tcPr>
            <w:tcW w:w="872" w:type="dxa"/>
            <w:tcBorders>
              <w:top w:val="nil"/>
              <w:left w:val="nil"/>
              <w:bottom w:val="single" w:color="auto" w:sz="4" w:space="0"/>
              <w:right w:val="single" w:color="auto" w:sz="4" w:space="0"/>
            </w:tcBorders>
            <w:vAlign w:val="center"/>
          </w:tcPr>
          <w:p w14:paraId="266E9E65">
            <w:pPr>
              <w:spacing w:line="240" w:lineRule="auto"/>
              <w:jc w:val="center"/>
              <w:rPr>
                <w:kern w:val="0"/>
                <w:sz w:val="21"/>
                <w:szCs w:val="21"/>
              </w:rPr>
            </w:pPr>
            <w:r>
              <w:rPr>
                <w:kern w:val="0"/>
                <w:sz w:val="21"/>
                <w:szCs w:val="21"/>
              </w:rPr>
              <w:t>≤95</w:t>
            </w:r>
          </w:p>
        </w:tc>
        <w:tc>
          <w:tcPr>
            <w:tcW w:w="715" w:type="dxa"/>
            <w:tcBorders>
              <w:top w:val="nil"/>
              <w:left w:val="nil"/>
              <w:bottom w:val="single" w:color="auto" w:sz="4" w:space="0"/>
              <w:right w:val="single" w:color="auto" w:sz="4" w:space="0"/>
            </w:tcBorders>
            <w:vAlign w:val="center"/>
          </w:tcPr>
          <w:p w14:paraId="7CBF4CB9">
            <w:pPr>
              <w:spacing w:line="240" w:lineRule="auto"/>
              <w:jc w:val="center"/>
              <w:rPr>
                <w:kern w:val="0"/>
                <w:sz w:val="21"/>
                <w:szCs w:val="21"/>
              </w:rPr>
            </w:pPr>
            <w:r>
              <w:rPr>
                <w:kern w:val="0"/>
                <w:sz w:val="21"/>
                <w:szCs w:val="21"/>
              </w:rPr>
              <w:t>≤95</w:t>
            </w:r>
          </w:p>
        </w:tc>
        <w:tc>
          <w:tcPr>
            <w:tcW w:w="708" w:type="dxa"/>
            <w:tcBorders>
              <w:top w:val="nil"/>
              <w:left w:val="nil"/>
              <w:bottom w:val="single" w:color="auto" w:sz="4" w:space="0"/>
              <w:right w:val="single" w:color="auto" w:sz="4" w:space="0"/>
            </w:tcBorders>
            <w:vAlign w:val="center"/>
          </w:tcPr>
          <w:p w14:paraId="51EF52B6">
            <w:pPr>
              <w:spacing w:line="240" w:lineRule="auto"/>
              <w:jc w:val="center"/>
              <w:rPr>
                <w:kern w:val="0"/>
                <w:sz w:val="21"/>
                <w:szCs w:val="21"/>
              </w:rPr>
            </w:pPr>
            <w:r>
              <w:rPr>
                <w:kern w:val="0"/>
                <w:sz w:val="21"/>
                <w:szCs w:val="21"/>
              </w:rPr>
              <w:t>≤105</w:t>
            </w:r>
          </w:p>
        </w:tc>
        <w:tc>
          <w:tcPr>
            <w:tcW w:w="710" w:type="dxa"/>
            <w:tcBorders>
              <w:top w:val="nil"/>
              <w:left w:val="nil"/>
              <w:bottom w:val="single" w:color="auto" w:sz="4" w:space="0"/>
              <w:right w:val="single" w:color="auto" w:sz="4" w:space="0"/>
            </w:tcBorders>
            <w:vAlign w:val="center"/>
          </w:tcPr>
          <w:p w14:paraId="6544F38C">
            <w:pPr>
              <w:spacing w:line="240" w:lineRule="auto"/>
              <w:jc w:val="center"/>
              <w:rPr>
                <w:kern w:val="0"/>
                <w:sz w:val="21"/>
                <w:szCs w:val="21"/>
              </w:rPr>
            </w:pPr>
            <w:r>
              <w:rPr>
                <w:kern w:val="0"/>
                <w:sz w:val="21"/>
                <w:szCs w:val="21"/>
              </w:rPr>
              <w:t>≤115</w:t>
            </w:r>
          </w:p>
        </w:tc>
        <w:tc>
          <w:tcPr>
            <w:tcW w:w="1722" w:type="dxa"/>
            <w:tcBorders>
              <w:top w:val="nil"/>
              <w:left w:val="nil"/>
              <w:bottom w:val="single" w:color="auto" w:sz="4" w:space="0"/>
              <w:right w:val="single" w:color="auto" w:sz="4" w:space="0"/>
            </w:tcBorders>
          </w:tcPr>
          <w:p w14:paraId="21401D20">
            <w:pPr>
              <w:spacing w:line="240" w:lineRule="auto"/>
              <w:jc w:val="center"/>
              <w:rPr>
                <w:kern w:val="0"/>
                <w:sz w:val="21"/>
                <w:szCs w:val="21"/>
              </w:rPr>
            </w:pPr>
            <w:r>
              <w:rPr>
                <w:kern w:val="0"/>
                <w:sz w:val="21"/>
                <w:szCs w:val="21"/>
              </w:rPr>
              <w:t>严于国标要求</w:t>
            </w:r>
          </w:p>
        </w:tc>
      </w:tr>
      <w:tr w14:paraId="2C206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3569" w:type="dxa"/>
            <w:gridSpan w:val="2"/>
            <w:tcBorders>
              <w:left w:val="single" w:color="auto" w:sz="4" w:space="0"/>
              <w:bottom w:val="single" w:color="auto" w:sz="4" w:space="0"/>
              <w:right w:val="single" w:color="auto" w:sz="4" w:space="0"/>
            </w:tcBorders>
            <w:vAlign w:val="center"/>
          </w:tcPr>
          <w:p w14:paraId="1E644F57">
            <w:pPr>
              <w:spacing w:line="240" w:lineRule="auto"/>
              <w:rPr>
                <w:kern w:val="0"/>
                <w:sz w:val="21"/>
                <w:szCs w:val="21"/>
              </w:rPr>
            </w:pPr>
            <w:r>
              <w:rPr>
                <w:kern w:val="0"/>
                <w:sz w:val="21"/>
                <w:szCs w:val="21"/>
              </w:rPr>
              <w:t>含水量/%</w:t>
            </w:r>
          </w:p>
        </w:tc>
        <w:tc>
          <w:tcPr>
            <w:tcW w:w="872" w:type="dxa"/>
            <w:tcBorders>
              <w:top w:val="nil"/>
              <w:left w:val="nil"/>
              <w:bottom w:val="single" w:color="auto" w:sz="4" w:space="0"/>
              <w:right w:val="single" w:color="auto" w:sz="4" w:space="0"/>
            </w:tcBorders>
            <w:vAlign w:val="center"/>
          </w:tcPr>
          <w:p w14:paraId="094491F4">
            <w:pPr>
              <w:spacing w:line="240" w:lineRule="auto"/>
              <w:jc w:val="center"/>
              <w:rPr>
                <w:kern w:val="0"/>
                <w:sz w:val="21"/>
                <w:szCs w:val="21"/>
              </w:rPr>
            </w:pPr>
            <w:r>
              <w:rPr>
                <w:kern w:val="0"/>
                <w:sz w:val="21"/>
                <w:szCs w:val="21"/>
              </w:rPr>
              <w:t>≤1.0</w:t>
            </w:r>
          </w:p>
        </w:tc>
        <w:tc>
          <w:tcPr>
            <w:tcW w:w="2133" w:type="dxa"/>
            <w:gridSpan w:val="3"/>
            <w:tcBorders>
              <w:top w:val="nil"/>
              <w:left w:val="nil"/>
              <w:bottom w:val="single" w:color="auto" w:sz="4" w:space="0"/>
              <w:right w:val="single" w:color="auto" w:sz="4" w:space="0"/>
            </w:tcBorders>
          </w:tcPr>
          <w:p w14:paraId="269FECD9">
            <w:pPr>
              <w:spacing w:line="240" w:lineRule="auto"/>
              <w:jc w:val="center"/>
              <w:rPr>
                <w:kern w:val="0"/>
                <w:sz w:val="21"/>
                <w:szCs w:val="21"/>
              </w:rPr>
            </w:pPr>
            <w:r>
              <w:rPr>
                <w:kern w:val="0"/>
                <w:sz w:val="21"/>
                <w:szCs w:val="21"/>
              </w:rPr>
              <w:t>≤1.0</w:t>
            </w:r>
          </w:p>
        </w:tc>
        <w:tc>
          <w:tcPr>
            <w:tcW w:w="1722" w:type="dxa"/>
            <w:tcBorders>
              <w:top w:val="nil"/>
              <w:left w:val="nil"/>
              <w:bottom w:val="single" w:color="auto" w:sz="4" w:space="0"/>
              <w:right w:val="single" w:color="auto" w:sz="4" w:space="0"/>
            </w:tcBorders>
          </w:tcPr>
          <w:p w14:paraId="604E04F1">
            <w:pPr>
              <w:spacing w:line="240" w:lineRule="auto"/>
              <w:jc w:val="center"/>
              <w:rPr>
                <w:kern w:val="0"/>
                <w:sz w:val="21"/>
                <w:szCs w:val="21"/>
              </w:rPr>
            </w:pPr>
            <w:r>
              <w:rPr>
                <w:kern w:val="0"/>
                <w:sz w:val="21"/>
                <w:szCs w:val="21"/>
              </w:rPr>
              <w:t>与国标保持一致</w:t>
            </w:r>
          </w:p>
        </w:tc>
      </w:tr>
      <w:tr w14:paraId="63868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3569" w:type="dxa"/>
            <w:gridSpan w:val="2"/>
            <w:tcBorders>
              <w:left w:val="single" w:color="auto" w:sz="4" w:space="0"/>
              <w:bottom w:val="single" w:color="auto" w:sz="4" w:space="0"/>
              <w:right w:val="single" w:color="auto" w:sz="4" w:space="0"/>
            </w:tcBorders>
            <w:vAlign w:val="center"/>
          </w:tcPr>
          <w:p w14:paraId="736885A0">
            <w:pPr>
              <w:spacing w:line="240" w:lineRule="auto"/>
              <w:rPr>
                <w:kern w:val="0"/>
                <w:sz w:val="21"/>
                <w:szCs w:val="21"/>
              </w:rPr>
            </w:pPr>
            <w:r>
              <w:rPr>
                <w:kern w:val="0"/>
                <w:sz w:val="21"/>
                <w:szCs w:val="21"/>
              </w:rPr>
              <w:t>密度/</w:t>
            </w:r>
            <w:r>
              <w:rPr>
                <w:rFonts w:hint="eastAsia"/>
                <w:kern w:val="0"/>
                <w:sz w:val="21"/>
                <w:szCs w:val="21"/>
              </w:rPr>
              <w:t>（</w:t>
            </w:r>
            <w:r>
              <w:rPr>
                <w:kern w:val="0"/>
                <w:sz w:val="21"/>
                <w:szCs w:val="21"/>
              </w:rPr>
              <w:t>g/cm</w:t>
            </w:r>
            <w:r>
              <w:rPr>
                <w:kern w:val="0"/>
                <w:sz w:val="21"/>
                <w:szCs w:val="21"/>
                <w:vertAlign w:val="superscript"/>
              </w:rPr>
              <w:t>3</w:t>
            </w:r>
            <w:r>
              <w:rPr>
                <w:rFonts w:hint="eastAsia"/>
                <w:kern w:val="0"/>
                <w:sz w:val="21"/>
                <w:szCs w:val="21"/>
              </w:rPr>
              <w:t>）</w:t>
            </w:r>
          </w:p>
        </w:tc>
        <w:tc>
          <w:tcPr>
            <w:tcW w:w="872" w:type="dxa"/>
            <w:tcBorders>
              <w:top w:val="nil"/>
              <w:left w:val="nil"/>
              <w:bottom w:val="single" w:color="auto" w:sz="4" w:space="0"/>
              <w:right w:val="single" w:color="auto" w:sz="4" w:space="0"/>
            </w:tcBorders>
            <w:vAlign w:val="center"/>
          </w:tcPr>
          <w:p w14:paraId="0BDB4629">
            <w:pPr>
              <w:spacing w:line="240" w:lineRule="auto"/>
              <w:jc w:val="center"/>
              <w:rPr>
                <w:kern w:val="0"/>
                <w:sz w:val="21"/>
                <w:szCs w:val="21"/>
              </w:rPr>
            </w:pPr>
            <w:r>
              <w:rPr>
                <w:kern w:val="0"/>
                <w:sz w:val="21"/>
                <w:szCs w:val="21"/>
              </w:rPr>
              <w:t>≤2.6</w:t>
            </w:r>
          </w:p>
        </w:tc>
        <w:tc>
          <w:tcPr>
            <w:tcW w:w="2133" w:type="dxa"/>
            <w:gridSpan w:val="3"/>
            <w:tcBorders>
              <w:top w:val="nil"/>
              <w:left w:val="nil"/>
              <w:bottom w:val="single" w:color="auto" w:sz="4" w:space="0"/>
              <w:right w:val="single" w:color="auto" w:sz="4" w:space="0"/>
            </w:tcBorders>
          </w:tcPr>
          <w:p w14:paraId="761F5042">
            <w:pPr>
              <w:spacing w:line="240" w:lineRule="auto"/>
              <w:jc w:val="center"/>
              <w:rPr>
                <w:kern w:val="0"/>
                <w:sz w:val="21"/>
                <w:szCs w:val="21"/>
              </w:rPr>
            </w:pPr>
            <w:r>
              <w:rPr>
                <w:kern w:val="0"/>
                <w:sz w:val="21"/>
                <w:szCs w:val="21"/>
              </w:rPr>
              <w:t>≤2.6</w:t>
            </w:r>
          </w:p>
        </w:tc>
        <w:tc>
          <w:tcPr>
            <w:tcW w:w="1722" w:type="dxa"/>
            <w:tcBorders>
              <w:top w:val="nil"/>
              <w:left w:val="nil"/>
              <w:bottom w:val="single" w:color="auto" w:sz="4" w:space="0"/>
              <w:right w:val="single" w:color="auto" w:sz="4" w:space="0"/>
            </w:tcBorders>
          </w:tcPr>
          <w:p w14:paraId="2A56EB1D">
            <w:pPr>
              <w:spacing w:line="240" w:lineRule="auto"/>
              <w:jc w:val="center"/>
              <w:rPr>
                <w:kern w:val="0"/>
                <w:sz w:val="21"/>
                <w:szCs w:val="21"/>
              </w:rPr>
            </w:pPr>
            <w:r>
              <w:rPr>
                <w:kern w:val="0"/>
                <w:sz w:val="21"/>
                <w:szCs w:val="21"/>
              </w:rPr>
              <w:t>与国标保持一致</w:t>
            </w:r>
          </w:p>
        </w:tc>
      </w:tr>
      <w:tr w14:paraId="5C99F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3569" w:type="dxa"/>
            <w:gridSpan w:val="2"/>
            <w:tcBorders>
              <w:left w:val="single" w:color="auto" w:sz="4" w:space="0"/>
              <w:bottom w:val="single" w:color="auto" w:sz="4" w:space="0"/>
              <w:right w:val="single" w:color="auto" w:sz="4" w:space="0"/>
            </w:tcBorders>
            <w:vAlign w:val="center"/>
          </w:tcPr>
          <w:p w14:paraId="3B6FEDF6">
            <w:pPr>
              <w:spacing w:line="240" w:lineRule="auto"/>
              <w:rPr>
                <w:kern w:val="0"/>
                <w:sz w:val="21"/>
                <w:szCs w:val="21"/>
              </w:rPr>
            </w:pPr>
            <w:r>
              <w:rPr>
                <w:kern w:val="0"/>
                <w:sz w:val="21"/>
                <w:szCs w:val="21"/>
              </w:rPr>
              <w:t>强度活性指数/%</w:t>
            </w:r>
          </w:p>
        </w:tc>
        <w:tc>
          <w:tcPr>
            <w:tcW w:w="872" w:type="dxa"/>
            <w:tcBorders>
              <w:top w:val="nil"/>
              <w:left w:val="nil"/>
              <w:bottom w:val="single" w:color="auto" w:sz="4" w:space="0"/>
              <w:right w:val="single" w:color="auto" w:sz="4" w:space="0"/>
            </w:tcBorders>
            <w:vAlign w:val="center"/>
          </w:tcPr>
          <w:p w14:paraId="5008DBBF">
            <w:pPr>
              <w:spacing w:line="240" w:lineRule="auto"/>
              <w:jc w:val="center"/>
              <w:rPr>
                <w:kern w:val="0"/>
                <w:sz w:val="21"/>
                <w:szCs w:val="21"/>
              </w:rPr>
            </w:pPr>
            <w:r>
              <w:rPr>
                <w:kern w:val="0"/>
                <w:sz w:val="21"/>
                <w:szCs w:val="21"/>
              </w:rPr>
              <w:t>≥80.0</w:t>
            </w:r>
          </w:p>
        </w:tc>
        <w:tc>
          <w:tcPr>
            <w:tcW w:w="2133" w:type="dxa"/>
            <w:gridSpan w:val="3"/>
            <w:tcBorders>
              <w:top w:val="nil"/>
              <w:left w:val="nil"/>
              <w:bottom w:val="single" w:color="auto" w:sz="4" w:space="0"/>
              <w:right w:val="single" w:color="auto" w:sz="4" w:space="0"/>
            </w:tcBorders>
          </w:tcPr>
          <w:p w14:paraId="7EE2FF02">
            <w:pPr>
              <w:spacing w:line="240" w:lineRule="auto"/>
              <w:jc w:val="center"/>
              <w:rPr>
                <w:kern w:val="0"/>
                <w:sz w:val="21"/>
                <w:szCs w:val="21"/>
              </w:rPr>
            </w:pPr>
            <w:r>
              <w:rPr>
                <w:kern w:val="0"/>
                <w:sz w:val="21"/>
                <w:szCs w:val="21"/>
              </w:rPr>
              <w:t>≥70</w:t>
            </w:r>
          </w:p>
        </w:tc>
        <w:tc>
          <w:tcPr>
            <w:tcW w:w="1722" w:type="dxa"/>
            <w:tcBorders>
              <w:top w:val="nil"/>
              <w:left w:val="nil"/>
              <w:bottom w:val="single" w:color="auto" w:sz="4" w:space="0"/>
              <w:right w:val="single" w:color="auto" w:sz="4" w:space="0"/>
            </w:tcBorders>
          </w:tcPr>
          <w:p w14:paraId="655DDAA6">
            <w:pPr>
              <w:spacing w:line="240" w:lineRule="auto"/>
              <w:jc w:val="center"/>
              <w:rPr>
                <w:kern w:val="0"/>
                <w:sz w:val="21"/>
                <w:szCs w:val="21"/>
              </w:rPr>
            </w:pPr>
            <w:r>
              <w:rPr>
                <w:kern w:val="0"/>
                <w:sz w:val="21"/>
                <w:szCs w:val="21"/>
              </w:rPr>
              <w:t>严于国标要求</w:t>
            </w:r>
          </w:p>
        </w:tc>
      </w:tr>
      <w:tr w14:paraId="704E3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3569" w:type="dxa"/>
            <w:gridSpan w:val="2"/>
            <w:tcBorders>
              <w:left w:val="single" w:color="auto" w:sz="4" w:space="0"/>
              <w:bottom w:val="single" w:color="auto" w:sz="4" w:space="0"/>
              <w:right w:val="single" w:color="auto" w:sz="4" w:space="0"/>
            </w:tcBorders>
            <w:vAlign w:val="center"/>
          </w:tcPr>
          <w:p w14:paraId="19300BAB">
            <w:pPr>
              <w:spacing w:line="240" w:lineRule="auto"/>
              <w:rPr>
                <w:kern w:val="0"/>
                <w:sz w:val="21"/>
                <w:szCs w:val="21"/>
              </w:rPr>
            </w:pPr>
            <w:r>
              <w:rPr>
                <w:kern w:val="0"/>
                <w:sz w:val="21"/>
                <w:szCs w:val="21"/>
              </w:rPr>
              <w:t>烧失量（Loss）/%</w:t>
            </w:r>
          </w:p>
        </w:tc>
        <w:tc>
          <w:tcPr>
            <w:tcW w:w="872" w:type="dxa"/>
            <w:tcBorders>
              <w:top w:val="nil"/>
              <w:left w:val="nil"/>
              <w:bottom w:val="single" w:color="auto" w:sz="4" w:space="0"/>
              <w:right w:val="single" w:color="auto" w:sz="4" w:space="0"/>
            </w:tcBorders>
            <w:vAlign w:val="center"/>
          </w:tcPr>
          <w:p w14:paraId="633C4B8D">
            <w:pPr>
              <w:spacing w:line="240" w:lineRule="auto"/>
              <w:jc w:val="center"/>
              <w:rPr>
                <w:kern w:val="0"/>
                <w:sz w:val="21"/>
                <w:szCs w:val="21"/>
              </w:rPr>
            </w:pPr>
            <w:r>
              <w:rPr>
                <w:kern w:val="0"/>
                <w:sz w:val="21"/>
                <w:szCs w:val="21"/>
              </w:rPr>
              <w:t>≤5.0</w:t>
            </w:r>
          </w:p>
        </w:tc>
        <w:tc>
          <w:tcPr>
            <w:tcW w:w="715" w:type="dxa"/>
            <w:tcBorders>
              <w:top w:val="nil"/>
              <w:left w:val="nil"/>
              <w:bottom w:val="single" w:color="auto" w:sz="4" w:space="0"/>
              <w:right w:val="single" w:color="auto" w:sz="4" w:space="0"/>
            </w:tcBorders>
            <w:vAlign w:val="center"/>
          </w:tcPr>
          <w:p w14:paraId="1B2B556A">
            <w:pPr>
              <w:spacing w:line="240" w:lineRule="auto"/>
              <w:jc w:val="center"/>
              <w:rPr>
                <w:kern w:val="0"/>
                <w:sz w:val="21"/>
                <w:szCs w:val="21"/>
              </w:rPr>
            </w:pPr>
            <w:r>
              <w:rPr>
                <w:kern w:val="0"/>
                <w:sz w:val="21"/>
                <w:szCs w:val="21"/>
              </w:rPr>
              <w:t>≤5.0</w:t>
            </w:r>
          </w:p>
        </w:tc>
        <w:tc>
          <w:tcPr>
            <w:tcW w:w="708" w:type="dxa"/>
            <w:tcBorders>
              <w:top w:val="nil"/>
              <w:left w:val="nil"/>
              <w:bottom w:val="single" w:color="auto" w:sz="4" w:space="0"/>
              <w:right w:val="single" w:color="auto" w:sz="4" w:space="0"/>
            </w:tcBorders>
            <w:vAlign w:val="center"/>
          </w:tcPr>
          <w:p w14:paraId="68787A47">
            <w:pPr>
              <w:spacing w:line="240" w:lineRule="auto"/>
              <w:jc w:val="center"/>
              <w:rPr>
                <w:kern w:val="0"/>
                <w:sz w:val="21"/>
                <w:szCs w:val="21"/>
              </w:rPr>
            </w:pPr>
            <w:r>
              <w:rPr>
                <w:kern w:val="0"/>
                <w:sz w:val="21"/>
                <w:szCs w:val="21"/>
              </w:rPr>
              <w:t>≤8.0</w:t>
            </w:r>
          </w:p>
        </w:tc>
        <w:tc>
          <w:tcPr>
            <w:tcW w:w="710" w:type="dxa"/>
            <w:tcBorders>
              <w:top w:val="nil"/>
              <w:left w:val="nil"/>
              <w:bottom w:val="single" w:color="auto" w:sz="4" w:space="0"/>
              <w:right w:val="single" w:color="auto" w:sz="4" w:space="0"/>
            </w:tcBorders>
            <w:vAlign w:val="center"/>
          </w:tcPr>
          <w:p w14:paraId="70F7ED87">
            <w:pPr>
              <w:spacing w:line="240" w:lineRule="auto"/>
              <w:jc w:val="center"/>
              <w:rPr>
                <w:kern w:val="0"/>
                <w:sz w:val="21"/>
                <w:szCs w:val="21"/>
              </w:rPr>
            </w:pPr>
            <w:r>
              <w:rPr>
                <w:kern w:val="0"/>
                <w:sz w:val="21"/>
                <w:szCs w:val="21"/>
              </w:rPr>
              <w:t>≤10.0</w:t>
            </w:r>
          </w:p>
        </w:tc>
        <w:tc>
          <w:tcPr>
            <w:tcW w:w="1722" w:type="dxa"/>
            <w:tcBorders>
              <w:top w:val="nil"/>
              <w:left w:val="nil"/>
              <w:bottom w:val="single" w:color="auto" w:sz="4" w:space="0"/>
              <w:right w:val="single" w:color="auto" w:sz="4" w:space="0"/>
            </w:tcBorders>
          </w:tcPr>
          <w:p w14:paraId="726037EB">
            <w:pPr>
              <w:spacing w:line="240" w:lineRule="auto"/>
              <w:jc w:val="center"/>
              <w:rPr>
                <w:kern w:val="0"/>
                <w:sz w:val="21"/>
                <w:szCs w:val="21"/>
              </w:rPr>
            </w:pPr>
            <w:r>
              <w:rPr>
                <w:kern w:val="0"/>
                <w:sz w:val="21"/>
                <w:szCs w:val="21"/>
              </w:rPr>
              <w:t>严于国标要求</w:t>
            </w:r>
          </w:p>
        </w:tc>
      </w:tr>
      <w:tr w14:paraId="2A192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3569" w:type="dxa"/>
            <w:gridSpan w:val="2"/>
            <w:tcBorders>
              <w:top w:val="nil"/>
              <w:left w:val="single" w:color="auto" w:sz="4" w:space="0"/>
              <w:bottom w:val="single" w:color="auto" w:sz="4" w:space="0"/>
              <w:right w:val="single" w:color="auto" w:sz="4" w:space="0"/>
            </w:tcBorders>
            <w:vAlign w:val="center"/>
          </w:tcPr>
          <w:p w14:paraId="03B4BA9E">
            <w:pPr>
              <w:spacing w:line="240" w:lineRule="auto"/>
              <w:rPr>
                <w:kern w:val="0"/>
                <w:sz w:val="21"/>
                <w:szCs w:val="21"/>
              </w:rPr>
            </w:pPr>
            <w:r>
              <w:rPr>
                <w:kern w:val="0"/>
                <w:sz w:val="21"/>
                <w:szCs w:val="21"/>
              </w:rPr>
              <w:t>三氧化硫（SO</w:t>
            </w:r>
            <w:r>
              <w:rPr>
                <w:kern w:val="0"/>
                <w:sz w:val="21"/>
                <w:szCs w:val="21"/>
                <w:vertAlign w:val="subscript"/>
              </w:rPr>
              <w:t>3</w:t>
            </w:r>
            <w:r>
              <w:rPr>
                <w:kern w:val="0"/>
                <w:sz w:val="21"/>
                <w:szCs w:val="21"/>
              </w:rPr>
              <w:t>）质量分数/%</w:t>
            </w:r>
          </w:p>
        </w:tc>
        <w:tc>
          <w:tcPr>
            <w:tcW w:w="872" w:type="dxa"/>
            <w:tcBorders>
              <w:top w:val="nil"/>
              <w:left w:val="nil"/>
              <w:bottom w:val="single" w:color="auto" w:sz="4" w:space="0"/>
              <w:right w:val="single" w:color="auto" w:sz="4" w:space="0"/>
            </w:tcBorders>
            <w:vAlign w:val="center"/>
          </w:tcPr>
          <w:p w14:paraId="4767F605">
            <w:pPr>
              <w:spacing w:line="240" w:lineRule="auto"/>
              <w:jc w:val="center"/>
              <w:rPr>
                <w:kern w:val="0"/>
                <w:sz w:val="21"/>
                <w:szCs w:val="21"/>
              </w:rPr>
            </w:pPr>
            <w:r>
              <w:rPr>
                <w:kern w:val="0"/>
                <w:sz w:val="21"/>
                <w:szCs w:val="21"/>
              </w:rPr>
              <w:t>≤3.0</w:t>
            </w:r>
          </w:p>
        </w:tc>
        <w:tc>
          <w:tcPr>
            <w:tcW w:w="2133" w:type="dxa"/>
            <w:gridSpan w:val="3"/>
            <w:tcBorders>
              <w:top w:val="nil"/>
              <w:left w:val="nil"/>
              <w:bottom w:val="single" w:color="auto" w:sz="4" w:space="0"/>
              <w:right w:val="single" w:color="auto" w:sz="4" w:space="0"/>
            </w:tcBorders>
          </w:tcPr>
          <w:p w14:paraId="7A56079D">
            <w:pPr>
              <w:spacing w:line="240" w:lineRule="auto"/>
              <w:jc w:val="center"/>
              <w:rPr>
                <w:kern w:val="0"/>
                <w:sz w:val="21"/>
                <w:szCs w:val="21"/>
              </w:rPr>
            </w:pPr>
            <w:r>
              <w:rPr>
                <w:kern w:val="0"/>
                <w:sz w:val="21"/>
                <w:szCs w:val="21"/>
              </w:rPr>
              <w:t>≤3.0</w:t>
            </w:r>
          </w:p>
        </w:tc>
        <w:tc>
          <w:tcPr>
            <w:tcW w:w="1722" w:type="dxa"/>
            <w:tcBorders>
              <w:top w:val="nil"/>
              <w:left w:val="nil"/>
              <w:bottom w:val="single" w:color="auto" w:sz="4" w:space="0"/>
              <w:right w:val="single" w:color="auto" w:sz="4" w:space="0"/>
            </w:tcBorders>
          </w:tcPr>
          <w:p w14:paraId="516EFE28">
            <w:pPr>
              <w:spacing w:line="240" w:lineRule="auto"/>
              <w:jc w:val="center"/>
              <w:rPr>
                <w:kern w:val="0"/>
                <w:sz w:val="21"/>
                <w:szCs w:val="21"/>
              </w:rPr>
            </w:pPr>
            <w:r>
              <w:rPr>
                <w:kern w:val="0"/>
                <w:sz w:val="21"/>
                <w:szCs w:val="21"/>
              </w:rPr>
              <w:t>与国标保持一致</w:t>
            </w:r>
          </w:p>
        </w:tc>
      </w:tr>
      <w:tr w14:paraId="18DC1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2657" w:type="dxa"/>
            <w:vMerge w:val="restart"/>
            <w:tcBorders>
              <w:top w:val="nil"/>
              <w:left w:val="single" w:color="auto" w:sz="4" w:space="0"/>
              <w:right w:val="single" w:color="auto" w:sz="4" w:space="0"/>
            </w:tcBorders>
            <w:vAlign w:val="center"/>
          </w:tcPr>
          <w:p w14:paraId="214FECF2">
            <w:pPr>
              <w:spacing w:line="240" w:lineRule="auto"/>
              <w:rPr>
                <w:kern w:val="0"/>
                <w:sz w:val="21"/>
                <w:szCs w:val="21"/>
              </w:rPr>
            </w:pPr>
            <w:r>
              <w:rPr>
                <w:kern w:val="0"/>
                <w:sz w:val="21"/>
                <w:szCs w:val="21"/>
              </w:rPr>
              <w:t>游离氧化钙（f-CaO）质量分数/%</w:t>
            </w:r>
          </w:p>
        </w:tc>
        <w:tc>
          <w:tcPr>
            <w:tcW w:w="912" w:type="dxa"/>
            <w:tcBorders>
              <w:top w:val="nil"/>
              <w:left w:val="single" w:color="auto" w:sz="4" w:space="0"/>
              <w:right w:val="single" w:color="auto" w:sz="4" w:space="0"/>
            </w:tcBorders>
            <w:vAlign w:val="center"/>
          </w:tcPr>
          <w:p w14:paraId="1241B258">
            <w:pPr>
              <w:spacing w:line="240" w:lineRule="auto"/>
              <w:jc w:val="center"/>
              <w:rPr>
                <w:kern w:val="0"/>
                <w:sz w:val="21"/>
                <w:szCs w:val="21"/>
              </w:rPr>
            </w:pPr>
            <w:r>
              <w:rPr>
                <w:rFonts w:hint="eastAsia"/>
                <w:kern w:val="0"/>
                <w:sz w:val="21"/>
                <w:szCs w:val="21"/>
              </w:rPr>
              <w:t>F类</w:t>
            </w:r>
          </w:p>
        </w:tc>
        <w:tc>
          <w:tcPr>
            <w:tcW w:w="872" w:type="dxa"/>
            <w:tcBorders>
              <w:top w:val="nil"/>
              <w:left w:val="nil"/>
              <w:bottom w:val="single" w:color="auto" w:sz="4" w:space="0"/>
              <w:right w:val="single" w:color="auto" w:sz="4" w:space="0"/>
            </w:tcBorders>
            <w:vAlign w:val="center"/>
          </w:tcPr>
          <w:p w14:paraId="7D6396CF">
            <w:pPr>
              <w:spacing w:line="240" w:lineRule="auto"/>
              <w:jc w:val="center"/>
              <w:rPr>
                <w:kern w:val="0"/>
                <w:sz w:val="21"/>
                <w:szCs w:val="21"/>
              </w:rPr>
            </w:pPr>
            <w:r>
              <w:rPr>
                <w:kern w:val="0"/>
                <w:sz w:val="21"/>
                <w:szCs w:val="21"/>
              </w:rPr>
              <w:t>≤1.0</w:t>
            </w:r>
          </w:p>
        </w:tc>
        <w:tc>
          <w:tcPr>
            <w:tcW w:w="2133" w:type="dxa"/>
            <w:gridSpan w:val="3"/>
            <w:tcBorders>
              <w:top w:val="nil"/>
              <w:left w:val="nil"/>
              <w:bottom w:val="single" w:color="auto" w:sz="4" w:space="0"/>
              <w:right w:val="single" w:color="auto" w:sz="4" w:space="0"/>
            </w:tcBorders>
            <w:vAlign w:val="center"/>
          </w:tcPr>
          <w:p w14:paraId="709D6FEB">
            <w:pPr>
              <w:spacing w:line="240" w:lineRule="auto"/>
              <w:jc w:val="center"/>
              <w:rPr>
                <w:kern w:val="0"/>
                <w:sz w:val="21"/>
                <w:szCs w:val="21"/>
              </w:rPr>
            </w:pPr>
            <w:r>
              <w:rPr>
                <w:kern w:val="0"/>
                <w:sz w:val="21"/>
                <w:szCs w:val="21"/>
              </w:rPr>
              <w:t>≤1.0</w:t>
            </w:r>
          </w:p>
        </w:tc>
        <w:tc>
          <w:tcPr>
            <w:tcW w:w="1722" w:type="dxa"/>
            <w:vMerge w:val="restart"/>
            <w:tcBorders>
              <w:top w:val="nil"/>
              <w:left w:val="nil"/>
              <w:right w:val="single" w:color="auto" w:sz="4" w:space="0"/>
            </w:tcBorders>
            <w:vAlign w:val="center"/>
          </w:tcPr>
          <w:p w14:paraId="62DB79CA">
            <w:pPr>
              <w:spacing w:line="240" w:lineRule="auto"/>
              <w:jc w:val="center"/>
              <w:rPr>
                <w:kern w:val="0"/>
                <w:sz w:val="21"/>
                <w:szCs w:val="21"/>
              </w:rPr>
            </w:pPr>
            <w:r>
              <w:rPr>
                <w:kern w:val="0"/>
                <w:sz w:val="21"/>
                <w:szCs w:val="21"/>
              </w:rPr>
              <w:t>与国标保持一致</w:t>
            </w:r>
          </w:p>
        </w:tc>
      </w:tr>
      <w:tr w14:paraId="57935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2657" w:type="dxa"/>
            <w:vMerge w:val="continue"/>
            <w:tcBorders>
              <w:left w:val="single" w:color="auto" w:sz="4" w:space="0"/>
              <w:bottom w:val="single" w:color="auto" w:sz="4" w:space="0"/>
              <w:right w:val="single" w:color="auto" w:sz="4" w:space="0"/>
            </w:tcBorders>
            <w:vAlign w:val="center"/>
          </w:tcPr>
          <w:p w14:paraId="4E9619A7">
            <w:pPr>
              <w:spacing w:line="240" w:lineRule="auto"/>
              <w:rPr>
                <w:kern w:val="0"/>
                <w:sz w:val="21"/>
                <w:szCs w:val="21"/>
              </w:rPr>
            </w:pPr>
          </w:p>
        </w:tc>
        <w:tc>
          <w:tcPr>
            <w:tcW w:w="912" w:type="dxa"/>
            <w:tcBorders>
              <w:left w:val="single" w:color="auto" w:sz="4" w:space="0"/>
              <w:bottom w:val="single" w:color="auto" w:sz="4" w:space="0"/>
              <w:right w:val="single" w:color="auto" w:sz="4" w:space="0"/>
            </w:tcBorders>
            <w:vAlign w:val="center"/>
          </w:tcPr>
          <w:p w14:paraId="6F6304F1">
            <w:pPr>
              <w:spacing w:line="240" w:lineRule="auto"/>
              <w:jc w:val="center"/>
              <w:rPr>
                <w:kern w:val="0"/>
                <w:sz w:val="21"/>
                <w:szCs w:val="21"/>
              </w:rPr>
            </w:pPr>
            <w:r>
              <w:rPr>
                <w:rFonts w:hint="eastAsia"/>
                <w:kern w:val="0"/>
                <w:sz w:val="21"/>
                <w:szCs w:val="21"/>
              </w:rPr>
              <w:t>C类</w:t>
            </w:r>
          </w:p>
        </w:tc>
        <w:tc>
          <w:tcPr>
            <w:tcW w:w="872" w:type="dxa"/>
            <w:tcBorders>
              <w:top w:val="nil"/>
              <w:left w:val="nil"/>
              <w:bottom w:val="single" w:color="auto" w:sz="4" w:space="0"/>
              <w:right w:val="single" w:color="auto" w:sz="4" w:space="0"/>
            </w:tcBorders>
            <w:vAlign w:val="center"/>
          </w:tcPr>
          <w:p w14:paraId="44C17342">
            <w:pPr>
              <w:spacing w:line="240" w:lineRule="auto"/>
              <w:jc w:val="center"/>
              <w:rPr>
                <w:kern w:val="0"/>
                <w:sz w:val="21"/>
                <w:szCs w:val="21"/>
              </w:rPr>
            </w:pPr>
            <w:r>
              <w:rPr>
                <w:kern w:val="0"/>
                <w:sz w:val="21"/>
                <w:szCs w:val="21"/>
              </w:rPr>
              <w:t>≤4.0</w:t>
            </w:r>
          </w:p>
        </w:tc>
        <w:tc>
          <w:tcPr>
            <w:tcW w:w="2133" w:type="dxa"/>
            <w:gridSpan w:val="3"/>
            <w:tcBorders>
              <w:top w:val="nil"/>
              <w:left w:val="nil"/>
              <w:bottom w:val="single" w:color="auto" w:sz="4" w:space="0"/>
              <w:right w:val="single" w:color="auto" w:sz="4" w:space="0"/>
            </w:tcBorders>
            <w:vAlign w:val="center"/>
          </w:tcPr>
          <w:p w14:paraId="4C6F7F6C">
            <w:pPr>
              <w:spacing w:line="240" w:lineRule="auto"/>
              <w:jc w:val="center"/>
              <w:rPr>
                <w:kern w:val="0"/>
                <w:sz w:val="21"/>
                <w:szCs w:val="21"/>
              </w:rPr>
            </w:pPr>
            <w:r>
              <w:rPr>
                <w:kern w:val="0"/>
                <w:sz w:val="21"/>
                <w:szCs w:val="21"/>
              </w:rPr>
              <w:t>≤4.0</w:t>
            </w:r>
          </w:p>
        </w:tc>
        <w:tc>
          <w:tcPr>
            <w:tcW w:w="1722" w:type="dxa"/>
            <w:vMerge w:val="continue"/>
            <w:tcBorders>
              <w:left w:val="nil"/>
              <w:bottom w:val="single" w:color="auto" w:sz="4" w:space="0"/>
              <w:right w:val="single" w:color="auto" w:sz="4" w:space="0"/>
            </w:tcBorders>
          </w:tcPr>
          <w:p w14:paraId="6C7820E8">
            <w:pPr>
              <w:spacing w:line="240" w:lineRule="auto"/>
              <w:jc w:val="center"/>
              <w:rPr>
                <w:kern w:val="0"/>
                <w:sz w:val="21"/>
                <w:szCs w:val="21"/>
              </w:rPr>
            </w:pPr>
          </w:p>
        </w:tc>
      </w:tr>
      <w:tr w14:paraId="02320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trPr>
        <w:tc>
          <w:tcPr>
            <w:tcW w:w="2657" w:type="dxa"/>
            <w:vMerge w:val="restart"/>
            <w:tcBorders>
              <w:top w:val="nil"/>
              <w:left w:val="single" w:color="auto" w:sz="4" w:space="0"/>
              <w:right w:val="single" w:color="auto" w:sz="4" w:space="0"/>
            </w:tcBorders>
            <w:vAlign w:val="center"/>
          </w:tcPr>
          <w:p w14:paraId="4AEA8D28">
            <w:pPr>
              <w:spacing w:line="240" w:lineRule="auto"/>
              <w:rPr>
                <w:kern w:val="0"/>
                <w:sz w:val="21"/>
                <w:szCs w:val="21"/>
              </w:rPr>
            </w:pPr>
            <w:r>
              <w:rPr>
                <w:kern w:val="0"/>
                <w:sz w:val="21"/>
                <w:szCs w:val="21"/>
              </w:rPr>
              <w:t>二氧化硅（SiO</w:t>
            </w:r>
            <w:r>
              <w:rPr>
                <w:kern w:val="0"/>
                <w:sz w:val="21"/>
                <w:szCs w:val="21"/>
                <w:vertAlign w:val="subscript"/>
              </w:rPr>
              <w:t>2</w:t>
            </w:r>
            <w:r>
              <w:rPr>
                <w:kern w:val="0"/>
                <w:sz w:val="21"/>
                <w:szCs w:val="21"/>
              </w:rPr>
              <w:t>）、三氧化二铝（Al</w:t>
            </w:r>
            <w:r>
              <w:rPr>
                <w:kern w:val="0"/>
                <w:sz w:val="21"/>
                <w:szCs w:val="21"/>
                <w:vertAlign w:val="subscript"/>
              </w:rPr>
              <w:t>3</w:t>
            </w:r>
            <w:r>
              <w:rPr>
                <w:kern w:val="0"/>
                <w:sz w:val="21"/>
                <w:szCs w:val="21"/>
              </w:rPr>
              <w:t>O</w:t>
            </w:r>
            <w:r>
              <w:rPr>
                <w:kern w:val="0"/>
                <w:sz w:val="21"/>
                <w:szCs w:val="21"/>
                <w:vertAlign w:val="subscript"/>
              </w:rPr>
              <w:t>2</w:t>
            </w:r>
            <w:r>
              <w:rPr>
                <w:kern w:val="0"/>
                <w:sz w:val="21"/>
                <w:szCs w:val="21"/>
              </w:rPr>
              <w:t>）和三氧化二铁（Fe</w:t>
            </w:r>
            <w:r>
              <w:rPr>
                <w:kern w:val="0"/>
                <w:sz w:val="21"/>
                <w:szCs w:val="21"/>
                <w:vertAlign w:val="subscript"/>
              </w:rPr>
              <w:t>2</w:t>
            </w:r>
            <w:r>
              <w:rPr>
                <w:kern w:val="0"/>
                <w:sz w:val="21"/>
                <w:szCs w:val="21"/>
              </w:rPr>
              <w:t>O</w:t>
            </w:r>
            <w:r>
              <w:rPr>
                <w:kern w:val="0"/>
                <w:sz w:val="21"/>
                <w:szCs w:val="21"/>
                <w:vertAlign w:val="subscript"/>
              </w:rPr>
              <w:t>3</w:t>
            </w:r>
            <w:r>
              <w:rPr>
                <w:kern w:val="0"/>
                <w:sz w:val="21"/>
                <w:szCs w:val="21"/>
              </w:rPr>
              <w:t>）总质量分数/%</w:t>
            </w:r>
          </w:p>
        </w:tc>
        <w:tc>
          <w:tcPr>
            <w:tcW w:w="912" w:type="dxa"/>
            <w:tcBorders>
              <w:top w:val="nil"/>
              <w:left w:val="single" w:color="auto" w:sz="4" w:space="0"/>
              <w:right w:val="single" w:color="auto" w:sz="4" w:space="0"/>
            </w:tcBorders>
            <w:vAlign w:val="center"/>
          </w:tcPr>
          <w:p w14:paraId="233621A2">
            <w:pPr>
              <w:spacing w:line="240" w:lineRule="auto"/>
              <w:jc w:val="center"/>
              <w:rPr>
                <w:kern w:val="0"/>
                <w:sz w:val="21"/>
                <w:szCs w:val="21"/>
              </w:rPr>
            </w:pPr>
            <w:r>
              <w:rPr>
                <w:rFonts w:hint="eastAsia"/>
                <w:kern w:val="0"/>
                <w:sz w:val="21"/>
                <w:szCs w:val="21"/>
              </w:rPr>
              <w:t>F类</w:t>
            </w:r>
          </w:p>
        </w:tc>
        <w:tc>
          <w:tcPr>
            <w:tcW w:w="872" w:type="dxa"/>
            <w:tcBorders>
              <w:top w:val="nil"/>
              <w:left w:val="nil"/>
              <w:bottom w:val="single" w:color="auto" w:sz="4" w:space="0"/>
              <w:right w:val="single" w:color="auto" w:sz="4" w:space="0"/>
            </w:tcBorders>
            <w:vAlign w:val="center"/>
          </w:tcPr>
          <w:p w14:paraId="6EB4FF1E">
            <w:pPr>
              <w:spacing w:line="240" w:lineRule="auto"/>
              <w:jc w:val="center"/>
              <w:rPr>
                <w:kern w:val="0"/>
                <w:sz w:val="21"/>
                <w:szCs w:val="21"/>
              </w:rPr>
            </w:pPr>
            <w:r>
              <w:rPr>
                <w:kern w:val="0"/>
                <w:sz w:val="21"/>
                <w:szCs w:val="21"/>
              </w:rPr>
              <w:t>≥70.0</w:t>
            </w:r>
          </w:p>
        </w:tc>
        <w:tc>
          <w:tcPr>
            <w:tcW w:w="2133" w:type="dxa"/>
            <w:gridSpan w:val="3"/>
            <w:tcBorders>
              <w:top w:val="nil"/>
              <w:left w:val="nil"/>
              <w:bottom w:val="single" w:color="auto" w:sz="4" w:space="0"/>
              <w:right w:val="single" w:color="auto" w:sz="4" w:space="0"/>
            </w:tcBorders>
            <w:vAlign w:val="center"/>
          </w:tcPr>
          <w:p w14:paraId="30AC15BD">
            <w:pPr>
              <w:spacing w:line="240" w:lineRule="auto"/>
              <w:jc w:val="center"/>
              <w:rPr>
                <w:kern w:val="0"/>
                <w:sz w:val="21"/>
                <w:szCs w:val="21"/>
              </w:rPr>
            </w:pPr>
            <w:r>
              <w:rPr>
                <w:kern w:val="0"/>
                <w:sz w:val="21"/>
                <w:szCs w:val="21"/>
              </w:rPr>
              <w:t>≥70.0</w:t>
            </w:r>
          </w:p>
        </w:tc>
        <w:tc>
          <w:tcPr>
            <w:tcW w:w="1722" w:type="dxa"/>
            <w:vMerge w:val="restart"/>
            <w:tcBorders>
              <w:top w:val="nil"/>
              <w:left w:val="nil"/>
              <w:right w:val="single" w:color="auto" w:sz="4" w:space="0"/>
            </w:tcBorders>
            <w:vAlign w:val="center"/>
          </w:tcPr>
          <w:p w14:paraId="54CAC69B">
            <w:pPr>
              <w:spacing w:line="240" w:lineRule="auto"/>
              <w:jc w:val="center"/>
              <w:rPr>
                <w:kern w:val="0"/>
                <w:sz w:val="21"/>
                <w:szCs w:val="21"/>
              </w:rPr>
            </w:pPr>
            <w:r>
              <w:rPr>
                <w:kern w:val="0"/>
                <w:sz w:val="21"/>
                <w:szCs w:val="21"/>
              </w:rPr>
              <w:t>与国标保持一致</w:t>
            </w:r>
          </w:p>
        </w:tc>
      </w:tr>
      <w:tr w14:paraId="1EDF9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trPr>
        <w:tc>
          <w:tcPr>
            <w:tcW w:w="2657" w:type="dxa"/>
            <w:vMerge w:val="continue"/>
            <w:tcBorders>
              <w:left w:val="single" w:color="auto" w:sz="4" w:space="0"/>
              <w:bottom w:val="single" w:color="auto" w:sz="4" w:space="0"/>
              <w:right w:val="single" w:color="auto" w:sz="4" w:space="0"/>
            </w:tcBorders>
            <w:vAlign w:val="center"/>
          </w:tcPr>
          <w:p w14:paraId="53F9586F">
            <w:pPr>
              <w:spacing w:line="240" w:lineRule="auto"/>
              <w:rPr>
                <w:kern w:val="0"/>
                <w:sz w:val="21"/>
                <w:szCs w:val="21"/>
              </w:rPr>
            </w:pPr>
          </w:p>
        </w:tc>
        <w:tc>
          <w:tcPr>
            <w:tcW w:w="912" w:type="dxa"/>
            <w:tcBorders>
              <w:left w:val="single" w:color="auto" w:sz="4" w:space="0"/>
              <w:bottom w:val="single" w:color="auto" w:sz="4" w:space="0"/>
              <w:right w:val="single" w:color="auto" w:sz="4" w:space="0"/>
            </w:tcBorders>
            <w:vAlign w:val="center"/>
          </w:tcPr>
          <w:p w14:paraId="1FC26C73">
            <w:pPr>
              <w:spacing w:line="240" w:lineRule="auto"/>
              <w:jc w:val="center"/>
              <w:rPr>
                <w:kern w:val="0"/>
                <w:sz w:val="21"/>
                <w:szCs w:val="21"/>
              </w:rPr>
            </w:pPr>
            <w:r>
              <w:rPr>
                <w:rFonts w:hint="eastAsia"/>
                <w:kern w:val="0"/>
                <w:sz w:val="21"/>
                <w:szCs w:val="21"/>
              </w:rPr>
              <w:t>C类</w:t>
            </w:r>
          </w:p>
        </w:tc>
        <w:tc>
          <w:tcPr>
            <w:tcW w:w="872" w:type="dxa"/>
            <w:tcBorders>
              <w:top w:val="nil"/>
              <w:left w:val="nil"/>
              <w:bottom w:val="single" w:color="auto" w:sz="4" w:space="0"/>
              <w:right w:val="single" w:color="auto" w:sz="4" w:space="0"/>
            </w:tcBorders>
            <w:vAlign w:val="center"/>
          </w:tcPr>
          <w:p w14:paraId="00C74542">
            <w:pPr>
              <w:spacing w:line="240" w:lineRule="auto"/>
              <w:jc w:val="center"/>
              <w:rPr>
                <w:kern w:val="0"/>
                <w:sz w:val="21"/>
                <w:szCs w:val="21"/>
              </w:rPr>
            </w:pPr>
            <w:r>
              <w:rPr>
                <w:kern w:val="0"/>
                <w:sz w:val="21"/>
                <w:szCs w:val="21"/>
              </w:rPr>
              <w:t>≥50.0</w:t>
            </w:r>
          </w:p>
        </w:tc>
        <w:tc>
          <w:tcPr>
            <w:tcW w:w="2133" w:type="dxa"/>
            <w:gridSpan w:val="3"/>
            <w:tcBorders>
              <w:top w:val="nil"/>
              <w:left w:val="nil"/>
              <w:bottom w:val="single" w:color="auto" w:sz="4" w:space="0"/>
              <w:right w:val="single" w:color="auto" w:sz="4" w:space="0"/>
            </w:tcBorders>
            <w:vAlign w:val="center"/>
          </w:tcPr>
          <w:p w14:paraId="77B8A168">
            <w:pPr>
              <w:spacing w:line="240" w:lineRule="auto"/>
              <w:jc w:val="center"/>
              <w:rPr>
                <w:kern w:val="0"/>
                <w:sz w:val="21"/>
                <w:szCs w:val="21"/>
              </w:rPr>
            </w:pPr>
            <w:r>
              <w:rPr>
                <w:kern w:val="0"/>
                <w:sz w:val="21"/>
                <w:szCs w:val="21"/>
              </w:rPr>
              <w:t>≥50.0</w:t>
            </w:r>
          </w:p>
        </w:tc>
        <w:tc>
          <w:tcPr>
            <w:tcW w:w="1722" w:type="dxa"/>
            <w:vMerge w:val="continue"/>
            <w:tcBorders>
              <w:left w:val="nil"/>
              <w:bottom w:val="single" w:color="auto" w:sz="4" w:space="0"/>
              <w:right w:val="single" w:color="auto" w:sz="4" w:space="0"/>
            </w:tcBorders>
          </w:tcPr>
          <w:p w14:paraId="011507F9">
            <w:pPr>
              <w:spacing w:line="240" w:lineRule="auto"/>
              <w:jc w:val="center"/>
              <w:rPr>
                <w:kern w:val="0"/>
                <w:sz w:val="21"/>
                <w:szCs w:val="21"/>
              </w:rPr>
            </w:pPr>
          </w:p>
        </w:tc>
      </w:tr>
      <w:tr w14:paraId="7E4FB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 w:hRule="atLeast"/>
        </w:trPr>
        <w:tc>
          <w:tcPr>
            <w:tcW w:w="2657" w:type="dxa"/>
            <w:vMerge w:val="restart"/>
            <w:tcBorders>
              <w:top w:val="single" w:color="auto" w:sz="4" w:space="0"/>
              <w:left w:val="single" w:color="auto" w:sz="4" w:space="0"/>
              <w:right w:val="single" w:color="auto" w:sz="4" w:space="0"/>
            </w:tcBorders>
            <w:vAlign w:val="center"/>
          </w:tcPr>
          <w:p w14:paraId="03B45EE5">
            <w:pPr>
              <w:spacing w:line="240" w:lineRule="auto"/>
              <w:rPr>
                <w:kern w:val="0"/>
                <w:sz w:val="21"/>
                <w:szCs w:val="21"/>
              </w:rPr>
            </w:pPr>
            <w:r>
              <w:rPr>
                <w:kern w:val="0"/>
                <w:sz w:val="21"/>
                <w:szCs w:val="21"/>
              </w:rPr>
              <w:t>安定性（雷氏法）/（mm）</w:t>
            </w:r>
          </w:p>
        </w:tc>
        <w:tc>
          <w:tcPr>
            <w:tcW w:w="912" w:type="dxa"/>
            <w:tcBorders>
              <w:top w:val="single" w:color="auto" w:sz="4" w:space="0"/>
              <w:left w:val="single" w:color="auto" w:sz="4" w:space="0"/>
              <w:bottom w:val="single" w:color="auto" w:sz="4" w:space="0"/>
              <w:right w:val="single" w:color="auto" w:sz="4" w:space="0"/>
            </w:tcBorders>
            <w:vAlign w:val="center"/>
          </w:tcPr>
          <w:p w14:paraId="39A92B61">
            <w:pPr>
              <w:spacing w:line="240" w:lineRule="auto"/>
              <w:jc w:val="center"/>
              <w:rPr>
                <w:kern w:val="0"/>
                <w:sz w:val="21"/>
                <w:szCs w:val="21"/>
              </w:rPr>
            </w:pPr>
            <w:r>
              <w:rPr>
                <w:rFonts w:hint="eastAsia"/>
                <w:kern w:val="0"/>
                <w:sz w:val="21"/>
                <w:szCs w:val="21"/>
              </w:rPr>
              <w:t>F类</w:t>
            </w:r>
          </w:p>
        </w:tc>
        <w:tc>
          <w:tcPr>
            <w:tcW w:w="872" w:type="dxa"/>
            <w:vMerge w:val="restart"/>
            <w:tcBorders>
              <w:top w:val="single" w:color="auto" w:sz="4" w:space="0"/>
              <w:left w:val="nil"/>
              <w:right w:val="single" w:color="auto" w:sz="4" w:space="0"/>
            </w:tcBorders>
            <w:vAlign w:val="center"/>
          </w:tcPr>
          <w:p w14:paraId="29F20291">
            <w:pPr>
              <w:spacing w:line="240" w:lineRule="auto"/>
              <w:jc w:val="center"/>
              <w:rPr>
                <w:kern w:val="0"/>
                <w:sz w:val="21"/>
                <w:szCs w:val="21"/>
              </w:rPr>
            </w:pPr>
            <w:r>
              <w:rPr>
                <w:kern w:val="0"/>
                <w:sz w:val="21"/>
                <w:szCs w:val="21"/>
              </w:rPr>
              <w:t>≤5.0</w:t>
            </w:r>
          </w:p>
        </w:tc>
        <w:tc>
          <w:tcPr>
            <w:tcW w:w="2133" w:type="dxa"/>
            <w:gridSpan w:val="3"/>
            <w:tcBorders>
              <w:top w:val="single" w:color="auto" w:sz="4" w:space="0"/>
              <w:left w:val="nil"/>
              <w:right w:val="single" w:color="auto" w:sz="4" w:space="0"/>
            </w:tcBorders>
            <w:vAlign w:val="center"/>
          </w:tcPr>
          <w:p w14:paraId="44593A0F">
            <w:pPr>
              <w:spacing w:line="240" w:lineRule="auto"/>
              <w:jc w:val="center"/>
              <w:rPr>
                <w:kern w:val="0"/>
                <w:sz w:val="21"/>
                <w:szCs w:val="21"/>
              </w:rPr>
            </w:pPr>
            <w:r>
              <w:rPr>
                <w:kern w:val="0"/>
                <w:sz w:val="21"/>
                <w:szCs w:val="21"/>
              </w:rPr>
              <w:t>—</w:t>
            </w:r>
          </w:p>
        </w:tc>
        <w:tc>
          <w:tcPr>
            <w:tcW w:w="1722" w:type="dxa"/>
            <w:vMerge w:val="restart"/>
            <w:tcBorders>
              <w:top w:val="single" w:color="auto" w:sz="4" w:space="0"/>
              <w:left w:val="nil"/>
              <w:right w:val="single" w:color="auto" w:sz="4" w:space="0"/>
            </w:tcBorders>
            <w:vAlign w:val="center"/>
          </w:tcPr>
          <w:p w14:paraId="2E1532EF">
            <w:pPr>
              <w:spacing w:line="240" w:lineRule="auto"/>
              <w:jc w:val="center"/>
              <w:rPr>
                <w:kern w:val="0"/>
                <w:sz w:val="21"/>
                <w:szCs w:val="21"/>
              </w:rPr>
            </w:pPr>
            <w:r>
              <w:rPr>
                <w:kern w:val="0"/>
                <w:sz w:val="21"/>
                <w:szCs w:val="21"/>
              </w:rPr>
              <w:t>严于国标要求</w:t>
            </w:r>
          </w:p>
        </w:tc>
      </w:tr>
      <w:tr w14:paraId="17E84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 w:hRule="atLeast"/>
        </w:trPr>
        <w:tc>
          <w:tcPr>
            <w:tcW w:w="2657" w:type="dxa"/>
            <w:vMerge w:val="continue"/>
            <w:tcBorders>
              <w:left w:val="single" w:color="auto" w:sz="4" w:space="0"/>
              <w:bottom w:val="single" w:color="auto" w:sz="4" w:space="0"/>
              <w:right w:val="single" w:color="auto" w:sz="4" w:space="0"/>
            </w:tcBorders>
            <w:vAlign w:val="center"/>
          </w:tcPr>
          <w:p w14:paraId="53AD5CD2">
            <w:pPr>
              <w:spacing w:line="240" w:lineRule="auto"/>
              <w:rPr>
                <w:kern w:val="0"/>
                <w:sz w:val="21"/>
                <w:szCs w:val="21"/>
              </w:rPr>
            </w:pPr>
          </w:p>
        </w:tc>
        <w:tc>
          <w:tcPr>
            <w:tcW w:w="912" w:type="dxa"/>
            <w:tcBorders>
              <w:top w:val="single" w:color="auto" w:sz="4" w:space="0"/>
              <w:left w:val="single" w:color="auto" w:sz="4" w:space="0"/>
              <w:bottom w:val="single" w:color="auto" w:sz="4" w:space="0"/>
              <w:right w:val="single" w:color="auto" w:sz="4" w:space="0"/>
            </w:tcBorders>
            <w:vAlign w:val="center"/>
          </w:tcPr>
          <w:p w14:paraId="3CCED8CE">
            <w:pPr>
              <w:spacing w:line="240" w:lineRule="auto"/>
              <w:jc w:val="center"/>
              <w:rPr>
                <w:kern w:val="0"/>
                <w:sz w:val="21"/>
                <w:szCs w:val="21"/>
              </w:rPr>
            </w:pPr>
            <w:r>
              <w:rPr>
                <w:rFonts w:hint="eastAsia"/>
                <w:kern w:val="0"/>
                <w:sz w:val="21"/>
                <w:szCs w:val="21"/>
              </w:rPr>
              <w:t>C类</w:t>
            </w:r>
          </w:p>
        </w:tc>
        <w:tc>
          <w:tcPr>
            <w:tcW w:w="872" w:type="dxa"/>
            <w:vMerge w:val="continue"/>
            <w:tcBorders>
              <w:left w:val="nil"/>
              <w:bottom w:val="single" w:color="auto" w:sz="4" w:space="0"/>
              <w:right w:val="single" w:color="auto" w:sz="4" w:space="0"/>
            </w:tcBorders>
            <w:vAlign w:val="center"/>
          </w:tcPr>
          <w:p w14:paraId="66601B9E">
            <w:pPr>
              <w:spacing w:line="240" w:lineRule="auto"/>
              <w:jc w:val="center"/>
              <w:rPr>
                <w:kern w:val="0"/>
                <w:sz w:val="21"/>
                <w:szCs w:val="21"/>
              </w:rPr>
            </w:pPr>
          </w:p>
        </w:tc>
        <w:tc>
          <w:tcPr>
            <w:tcW w:w="2133" w:type="dxa"/>
            <w:gridSpan w:val="3"/>
            <w:tcBorders>
              <w:left w:val="nil"/>
              <w:bottom w:val="single" w:color="auto" w:sz="4" w:space="0"/>
              <w:right w:val="single" w:color="auto" w:sz="4" w:space="0"/>
            </w:tcBorders>
            <w:vAlign w:val="center"/>
          </w:tcPr>
          <w:p w14:paraId="101072DD">
            <w:pPr>
              <w:spacing w:line="240" w:lineRule="auto"/>
              <w:jc w:val="center"/>
              <w:rPr>
                <w:kern w:val="0"/>
                <w:sz w:val="21"/>
                <w:szCs w:val="21"/>
              </w:rPr>
            </w:pPr>
            <w:r>
              <w:rPr>
                <w:kern w:val="0"/>
                <w:sz w:val="21"/>
                <w:szCs w:val="21"/>
              </w:rPr>
              <w:t>≤5.0</w:t>
            </w:r>
          </w:p>
        </w:tc>
        <w:tc>
          <w:tcPr>
            <w:tcW w:w="1722" w:type="dxa"/>
            <w:vMerge w:val="continue"/>
            <w:tcBorders>
              <w:left w:val="nil"/>
              <w:bottom w:val="single" w:color="auto" w:sz="4" w:space="0"/>
              <w:right w:val="single" w:color="auto" w:sz="4" w:space="0"/>
            </w:tcBorders>
          </w:tcPr>
          <w:p w14:paraId="6213426E">
            <w:pPr>
              <w:spacing w:line="240" w:lineRule="auto"/>
              <w:jc w:val="center"/>
              <w:rPr>
                <w:kern w:val="0"/>
                <w:sz w:val="21"/>
                <w:szCs w:val="21"/>
              </w:rPr>
            </w:pPr>
          </w:p>
        </w:tc>
      </w:tr>
    </w:tbl>
    <w:p w14:paraId="71B2CB4B">
      <w:pPr>
        <w:pStyle w:val="37"/>
        <w:ind w:left="0" w:firstLine="480" w:firstLineChars="200"/>
      </w:pPr>
      <w:r>
        <w:rPr>
          <w:rFonts w:hint="eastAsia"/>
        </w:rPr>
        <w:t>本文件与GB/T 1596-2017相比，有以下不同：</w:t>
      </w:r>
    </w:p>
    <w:p w14:paraId="732DE8F7">
      <w:pPr>
        <w:pStyle w:val="37"/>
        <w:numPr>
          <w:ilvl w:val="0"/>
          <w:numId w:val="9"/>
        </w:numPr>
        <w:ind w:left="0" w:firstLine="480" w:firstLineChars="200"/>
      </w:pPr>
      <w:r>
        <w:rPr>
          <w:rFonts w:hint="eastAsia"/>
        </w:rPr>
        <w:t>45</w:t>
      </w:r>
      <w:r>
        <w:t>μ</w:t>
      </w:r>
      <w:r>
        <w:rPr>
          <w:rFonts w:hint="eastAsia"/>
        </w:rPr>
        <w:t>m筛余要求更高，本文件适用于更细等级的粉煤灰。</w:t>
      </w:r>
    </w:p>
    <w:p w14:paraId="549F473C">
      <w:pPr>
        <w:pStyle w:val="37"/>
        <w:numPr>
          <w:ilvl w:val="0"/>
          <w:numId w:val="9"/>
        </w:numPr>
        <w:ind w:left="0" w:firstLine="480" w:firstLineChars="200"/>
      </w:pPr>
      <w:r>
        <w:rPr>
          <w:rFonts w:hint="eastAsia"/>
        </w:rPr>
        <w:t>采用新增加的指标玻璃微珠完好率、颗粒形貌（圆形度、长径比）、粒径分布（D50、D90）表征，更具有科学性。物流改性粉煤灰通过研磨整形，解离子母珠和粘连微珠，玻璃微珠完好率高，颗粒形貌和粒径分布均有所优化。</w:t>
      </w:r>
    </w:p>
    <w:p w14:paraId="02276247">
      <w:pPr>
        <w:pStyle w:val="37"/>
        <w:numPr>
          <w:ilvl w:val="0"/>
          <w:numId w:val="9"/>
        </w:numPr>
        <w:ind w:left="0" w:firstLine="480" w:firstLineChars="200"/>
      </w:pPr>
      <w:r>
        <w:rPr>
          <w:rFonts w:hint="eastAsia"/>
        </w:rPr>
        <w:t>铵离子含量与GB/T 1596-2017“第1号修改单”要求一致。</w:t>
      </w:r>
    </w:p>
    <w:p w14:paraId="2B957F70">
      <w:pPr>
        <w:pStyle w:val="37"/>
        <w:numPr>
          <w:ilvl w:val="0"/>
          <w:numId w:val="9"/>
        </w:numPr>
        <w:ind w:left="0" w:firstLine="480" w:firstLineChars="200"/>
      </w:pPr>
      <w:r>
        <w:rPr>
          <w:rFonts w:hint="eastAsia"/>
        </w:rPr>
        <w:t>需水量比、强度活性指数、烧失量、游离氧化钙、安定性等指标严于国标要求。</w:t>
      </w:r>
    </w:p>
    <w:p w14:paraId="0FB1256C">
      <w:pPr>
        <w:pStyle w:val="37"/>
        <w:numPr>
          <w:ilvl w:val="0"/>
          <w:numId w:val="9"/>
        </w:numPr>
        <w:ind w:left="0" w:firstLine="480" w:firstLineChars="200"/>
      </w:pPr>
      <w:r>
        <w:rPr>
          <w:rFonts w:hint="eastAsia"/>
        </w:rPr>
        <w:t>含水量、密度、</w:t>
      </w:r>
      <w:r>
        <w:t>三氧化硫（SO</w:t>
      </w:r>
      <w:r>
        <w:rPr>
          <w:vertAlign w:val="subscript"/>
        </w:rPr>
        <w:t>3</w:t>
      </w:r>
      <w:r>
        <w:t>）质量分数</w:t>
      </w:r>
      <w:r>
        <w:rPr>
          <w:rFonts w:hint="eastAsia"/>
        </w:rPr>
        <w:t>、</w:t>
      </w:r>
      <w:r>
        <w:t>二氧化硅（SiO</w:t>
      </w:r>
      <w:r>
        <w:rPr>
          <w:vertAlign w:val="subscript"/>
        </w:rPr>
        <w:t>2</w:t>
      </w:r>
      <w:r>
        <w:t>）、三氧化二铝（Al</w:t>
      </w:r>
      <w:r>
        <w:rPr>
          <w:vertAlign w:val="subscript"/>
        </w:rPr>
        <w:t>3</w:t>
      </w:r>
      <w:r>
        <w:t>O</w:t>
      </w:r>
      <w:r>
        <w:rPr>
          <w:vertAlign w:val="subscript"/>
        </w:rPr>
        <w:t>2</w:t>
      </w:r>
      <w:r>
        <w:t>）和三氧化二铁（Fe</w:t>
      </w:r>
      <w:r>
        <w:rPr>
          <w:vertAlign w:val="subscript"/>
        </w:rPr>
        <w:t>2</w:t>
      </w:r>
      <w:r>
        <w:t>O</w:t>
      </w:r>
      <w:r>
        <w:rPr>
          <w:vertAlign w:val="subscript"/>
        </w:rPr>
        <w:t>3</w:t>
      </w:r>
      <w:r>
        <w:t>）总质量分数</w:t>
      </w:r>
      <w:r>
        <w:rPr>
          <w:rFonts w:hint="eastAsia"/>
        </w:rPr>
        <w:t>等指标</w:t>
      </w:r>
      <w:r>
        <w:t>与国标保持一致</w:t>
      </w:r>
      <w:r>
        <w:rPr>
          <w:rFonts w:hint="eastAsia"/>
        </w:rPr>
        <w:t>。</w:t>
      </w:r>
    </w:p>
    <w:p w14:paraId="113A15E6">
      <w:pPr>
        <w:pStyle w:val="37"/>
        <w:numPr>
          <w:ilvl w:val="0"/>
          <w:numId w:val="1"/>
        </w:numPr>
        <w:ind w:firstLine="482" w:firstLineChars="200"/>
        <w:outlineLvl w:val="0"/>
        <w:rPr>
          <w:b/>
          <w:bCs/>
          <w:highlight w:val="yellow"/>
        </w:rPr>
      </w:pPr>
      <w:r>
        <w:rPr>
          <w:rFonts w:hint="eastAsia"/>
          <w:b/>
          <w:bCs/>
          <w:highlight w:val="yellow"/>
        </w:rPr>
        <w:t>重大分歧意见的处理经过和依据（定稿前持续更新）</w:t>
      </w:r>
    </w:p>
    <w:p w14:paraId="7C66E5CD">
      <w:pPr>
        <w:pStyle w:val="37"/>
        <w:ind w:left="0" w:firstLine="480" w:firstLineChars="200"/>
      </w:pPr>
      <w:r>
        <w:rPr>
          <w:rFonts w:hint="eastAsia"/>
        </w:rPr>
        <w:t>暂无。</w:t>
      </w:r>
    </w:p>
    <w:p w14:paraId="02E9FE22">
      <w:pPr>
        <w:rPr>
          <w:b/>
          <w:bCs/>
        </w:rPr>
      </w:pPr>
      <w:r>
        <w:rPr>
          <w:rFonts w:hint="eastAsia"/>
          <w:b/>
          <w:bCs/>
        </w:rPr>
        <w:br w:type="page"/>
      </w:r>
    </w:p>
    <w:p w14:paraId="128AF418">
      <w:pPr>
        <w:pStyle w:val="37"/>
        <w:numPr>
          <w:ilvl w:val="0"/>
          <w:numId w:val="1"/>
        </w:numPr>
        <w:ind w:firstLine="482" w:firstLineChars="200"/>
        <w:outlineLvl w:val="0"/>
        <w:rPr>
          <w:b/>
          <w:bCs/>
        </w:rPr>
      </w:pPr>
      <w:bookmarkStart w:id="26" w:name="_GoBack"/>
      <w:bookmarkEnd w:id="26"/>
      <w:r>
        <w:rPr>
          <w:rFonts w:hint="eastAsia"/>
          <w:b/>
          <w:bCs/>
        </w:rPr>
        <w:t>标准性质的建议说明</w:t>
      </w:r>
    </w:p>
    <w:p w14:paraId="77C2F1B1">
      <w:pPr>
        <w:pStyle w:val="37"/>
        <w:ind w:left="0" w:firstLine="480" w:firstLineChars="200"/>
      </w:pPr>
      <w:r>
        <w:rPr>
          <w:rFonts w:hint="eastAsia"/>
        </w:rPr>
        <w:t>本标准为推荐性建材行业协会标准。</w:t>
      </w:r>
    </w:p>
    <w:p w14:paraId="0CBEFD41">
      <w:pPr>
        <w:pStyle w:val="37"/>
        <w:numPr>
          <w:ilvl w:val="0"/>
          <w:numId w:val="1"/>
        </w:numPr>
        <w:ind w:firstLine="482" w:firstLineChars="200"/>
        <w:outlineLvl w:val="0"/>
        <w:rPr>
          <w:b/>
          <w:bCs/>
        </w:rPr>
      </w:pPr>
      <w:r>
        <w:rPr>
          <w:rFonts w:hint="eastAsia"/>
          <w:b/>
          <w:bCs/>
        </w:rPr>
        <w:t>贯彻标准的要求和措施建议（包括组织措施、技术措施、过渡办法、实施日期等）</w:t>
      </w:r>
    </w:p>
    <w:p w14:paraId="16065419">
      <w:pPr>
        <w:pStyle w:val="37"/>
        <w:ind w:left="0" w:firstLine="480" w:firstLineChars="200"/>
      </w:pPr>
      <w:r>
        <w:rPr>
          <w:rFonts w:hint="eastAsia"/>
        </w:rPr>
        <w:t>待本标准批准发布后，建议由标委会组织相关生产、检验、施工、设计等有关单位进行宣贯。</w:t>
      </w:r>
    </w:p>
    <w:p w14:paraId="0BD50060">
      <w:pPr>
        <w:pStyle w:val="37"/>
        <w:numPr>
          <w:ilvl w:val="0"/>
          <w:numId w:val="1"/>
        </w:numPr>
        <w:ind w:firstLine="482" w:firstLineChars="200"/>
        <w:outlineLvl w:val="0"/>
        <w:rPr>
          <w:b/>
          <w:bCs/>
        </w:rPr>
      </w:pPr>
      <w:r>
        <w:rPr>
          <w:rFonts w:hint="eastAsia"/>
          <w:b/>
          <w:bCs/>
        </w:rPr>
        <w:t>其他说明</w:t>
      </w:r>
    </w:p>
    <w:p w14:paraId="45F0A772">
      <w:pPr>
        <w:pStyle w:val="37"/>
        <w:ind w:left="0" w:firstLine="480" w:firstLineChars="200"/>
      </w:pPr>
      <w:r>
        <w:rPr>
          <w:rFonts w:hint="eastAsia"/>
        </w:rPr>
        <w:t>无其他说明事项。</w:t>
      </w:r>
    </w:p>
    <w:p w14:paraId="1139C8B1">
      <w:pPr>
        <w:pStyle w:val="37"/>
        <w:ind w:left="0" w:firstLine="480" w:firstLineChars="200"/>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46F38B9"/>
    <w:multiLevelType w:val="multilevel"/>
    <w:tmpl w:val="046F38B9"/>
    <w:lvl w:ilvl="0" w:tentative="0">
      <w:start w:val="1"/>
      <w:numFmt w:val="decimal"/>
      <w:isLgl/>
      <w:lvlText w:val="%1 "/>
      <w:lvlJc w:val="left"/>
      <w:pPr>
        <w:ind w:left="0" w:firstLine="0"/>
      </w:pPr>
      <w:rPr>
        <w:rFonts w:hint="default" w:ascii="Times New Roman" w:hAnsi="Times New Roman" w:eastAsia="宋体"/>
        <w:sz w:val="24"/>
      </w:rPr>
    </w:lvl>
    <w:lvl w:ilvl="1" w:tentative="0">
      <w:start w:val="1"/>
      <w:numFmt w:val="decimal"/>
      <w:isLgl/>
      <w:lvlText w:val="%1.%2 "/>
      <w:lvlJc w:val="left"/>
      <w:pPr>
        <w:ind w:left="0" w:firstLine="0"/>
      </w:pPr>
      <w:rPr>
        <w:rFonts w:hint="default" w:ascii="Times New Roman" w:hAnsi="Times New Roman" w:eastAsia="宋体"/>
        <w:sz w:val="24"/>
      </w:rPr>
    </w:lvl>
    <w:lvl w:ilvl="2" w:tentative="0">
      <w:start w:val="1"/>
      <w:numFmt w:val="decimal"/>
      <w:isLgl/>
      <w:lvlText w:val="%1.%2.%3 "/>
      <w:lvlJc w:val="left"/>
      <w:pPr>
        <w:ind w:left="0" w:firstLine="0"/>
      </w:pPr>
      <w:rPr>
        <w:rFonts w:hint="default" w:ascii="Times New Roman" w:hAnsi="Times New Roman" w:eastAsia="宋体"/>
        <w:sz w:val="24"/>
      </w:rPr>
    </w:lvl>
    <w:lvl w:ilvl="3" w:tentative="0">
      <w:start w:val="1"/>
      <w:numFmt w:val="decimal"/>
      <w:isLgl/>
      <w:lvlText w:val="%1.%2.%3.%4 "/>
      <w:lvlJc w:val="left"/>
      <w:pPr>
        <w:ind w:left="0" w:firstLine="0"/>
      </w:pPr>
      <w:rPr>
        <w:rFonts w:hint="default" w:ascii="Times New Roman" w:hAnsi="Times New Roman" w:eastAsia="宋体"/>
        <w:sz w:val="24"/>
      </w:rPr>
    </w:lvl>
    <w:lvl w:ilvl="4" w:tentative="0">
      <w:start w:val="1"/>
      <w:numFmt w:val="decima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1">
    <w:nsid w:val="20837A53"/>
    <w:multiLevelType w:val="multilevel"/>
    <w:tmpl w:val="20837A53"/>
    <w:lvl w:ilvl="0" w:tentative="0">
      <w:start w:val="1"/>
      <w:numFmt w:val="decimal"/>
      <w:lvlText w:val="（%1）"/>
      <w:lvlJc w:val="left"/>
      <w:pPr>
        <w:ind w:left="92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
    <w:nsid w:val="3D3B3396"/>
    <w:multiLevelType w:val="multilevel"/>
    <w:tmpl w:val="3D3B3396"/>
    <w:lvl w:ilvl="0" w:tentative="0">
      <w:start w:val="1"/>
      <w:numFmt w:val="decimal"/>
      <w:lvlText w:val="（%1）"/>
      <w:lvlJc w:val="left"/>
      <w:pPr>
        <w:ind w:left="92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
    <w:nsid w:val="489F332D"/>
    <w:multiLevelType w:val="multilevel"/>
    <w:tmpl w:val="489F332D"/>
    <w:lvl w:ilvl="0" w:tentative="0">
      <w:start w:val="1"/>
      <w:numFmt w:val="decimal"/>
      <w:lvlText w:val="（%1）"/>
      <w:lvlJc w:val="left"/>
      <w:pPr>
        <w:ind w:left="92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
    <w:nsid w:val="55945A90"/>
    <w:multiLevelType w:val="multilevel"/>
    <w:tmpl w:val="55945A90"/>
    <w:lvl w:ilvl="0" w:tentative="0">
      <w:start w:val="1"/>
      <w:numFmt w:val="decimal"/>
      <w:isLgl/>
      <w:lvlText w:val="%1 "/>
      <w:lvlJc w:val="left"/>
      <w:pPr>
        <w:ind w:left="0" w:firstLine="0"/>
      </w:pPr>
      <w:rPr>
        <w:rFonts w:hint="default" w:ascii="Times New Roman" w:hAnsi="Times New Roman" w:eastAsia="宋体"/>
        <w:sz w:val="24"/>
      </w:rPr>
    </w:lvl>
    <w:lvl w:ilvl="1" w:tentative="0">
      <w:start w:val="1"/>
      <w:numFmt w:val="decimal"/>
      <w:isLgl/>
      <w:lvlText w:val="%1.%2 "/>
      <w:lvlJc w:val="left"/>
      <w:pPr>
        <w:ind w:left="0" w:firstLine="0"/>
      </w:pPr>
      <w:rPr>
        <w:rFonts w:hint="default" w:ascii="Times New Roman" w:hAnsi="Times New Roman" w:eastAsia="宋体"/>
        <w:sz w:val="24"/>
      </w:rPr>
    </w:lvl>
    <w:lvl w:ilvl="2" w:tentative="0">
      <w:start w:val="1"/>
      <w:numFmt w:val="decimal"/>
      <w:isLgl/>
      <w:lvlText w:val="%1.%2.%3 "/>
      <w:lvlJc w:val="left"/>
      <w:pPr>
        <w:ind w:left="0" w:firstLine="0"/>
      </w:pPr>
      <w:rPr>
        <w:rFonts w:hint="default" w:ascii="Times New Roman" w:hAnsi="Times New Roman" w:eastAsia="宋体"/>
        <w:sz w:val="24"/>
      </w:rPr>
    </w:lvl>
    <w:lvl w:ilvl="3" w:tentative="0">
      <w:start w:val="1"/>
      <w:numFmt w:val="decimal"/>
      <w:isLgl/>
      <w:lvlText w:val="%1.%2.%3.%4 "/>
      <w:lvlJc w:val="left"/>
      <w:pPr>
        <w:ind w:left="0" w:firstLine="0"/>
      </w:pPr>
      <w:rPr>
        <w:rFonts w:hint="default" w:ascii="Times New Roman" w:hAnsi="Times New Roman" w:eastAsia="宋体"/>
        <w:sz w:val="24"/>
      </w:rPr>
    </w:lvl>
    <w:lvl w:ilvl="4" w:tentative="0">
      <w:start w:val="1"/>
      <w:numFmt w:val="decima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5">
    <w:nsid w:val="60B01073"/>
    <w:multiLevelType w:val="multilevel"/>
    <w:tmpl w:val="60B01073"/>
    <w:lvl w:ilvl="0" w:tentative="0">
      <w:start w:val="1"/>
      <w:numFmt w:val="decimal"/>
      <w:lvlText w:val="（%1）"/>
      <w:lvlJc w:val="left"/>
      <w:pPr>
        <w:ind w:left="92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6">
    <w:nsid w:val="66017C39"/>
    <w:multiLevelType w:val="multilevel"/>
    <w:tmpl w:val="66017C39"/>
    <w:lvl w:ilvl="0" w:tentative="0">
      <w:start w:val="1"/>
      <w:numFmt w:val="decimal"/>
      <w:lvlText w:val="（%1）"/>
      <w:lvlJc w:val="left"/>
      <w:pPr>
        <w:ind w:left="92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
    <w:nsid w:val="714A7DB2"/>
    <w:multiLevelType w:val="multilevel"/>
    <w:tmpl w:val="714A7DB2"/>
    <w:lvl w:ilvl="0" w:tentative="0">
      <w:start w:val="1"/>
      <w:numFmt w:val="decimal"/>
      <w:lvlText w:val="（%1）"/>
      <w:lvlJc w:val="left"/>
      <w:pPr>
        <w:ind w:left="92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8">
    <w:nsid w:val="7B0949F2"/>
    <w:multiLevelType w:val="multilevel"/>
    <w:tmpl w:val="7B0949F2"/>
    <w:lvl w:ilvl="0" w:tentative="0">
      <w:start w:val="1"/>
      <w:numFmt w:val="decimal"/>
      <w:lvlText w:val="（%1）"/>
      <w:lvlJc w:val="left"/>
      <w:pPr>
        <w:ind w:left="92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 w:numId="2">
    <w:abstractNumId w:val="4"/>
  </w:num>
  <w:num w:numId="3">
    <w:abstractNumId w:val="3"/>
  </w:num>
  <w:num w:numId="4">
    <w:abstractNumId w:val="8"/>
  </w:num>
  <w:num w:numId="5">
    <w:abstractNumId w:val="6"/>
  </w:num>
  <w:num w:numId="6">
    <w:abstractNumId w:val="5"/>
  </w:num>
  <w:num w:numId="7">
    <w:abstractNumId w:val="2"/>
  </w:num>
  <w:num w:numId="8">
    <w:abstractNumId w:val="7"/>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20"/>
  <w:drawingGridVerticalSpacing w:val="163"/>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713C"/>
    <w:rsid w:val="0000436A"/>
    <w:rsid w:val="00037AF3"/>
    <w:rsid w:val="000556B1"/>
    <w:rsid w:val="00060BEE"/>
    <w:rsid w:val="000678BB"/>
    <w:rsid w:val="00091562"/>
    <w:rsid w:val="000A7D6A"/>
    <w:rsid w:val="000C0462"/>
    <w:rsid w:val="000C104A"/>
    <w:rsid w:val="000C63AD"/>
    <w:rsid w:val="00107834"/>
    <w:rsid w:val="00124706"/>
    <w:rsid w:val="0012566E"/>
    <w:rsid w:val="00126627"/>
    <w:rsid w:val="001305B8"/>
    <w:rsid w:val="00147AEA"/>
    <w:rsid w:val="001547B6"/>
    <w:rsid w:val="001A610B"/>
    <w:rsid w:val="001A79AA"/>
    <w:rsid w:val="001B0CFD"/>
    <w:rsid w:val="001B289A"/>
    <w:rsid w:val="002071EA"/>
    <w:rsid w:val="00253383"/>
    <w:rsid w:val="00260AEE"/>
    <w:rsid w:val="0026433D"/>
    <w:rsid w:val="0029104F"/>
    <w:rsid w:val="002A1BD3"/>
    <w:rsid w:val="002D40A2"/>
    <w:rsid w:val="002D64D7"/>
    <w:rsid w:val="002D6E71"/>
    <w:rsid w:val="002E5271"/>
    <w:rsid w:val="002F2F26"/>
    <w:rsid w:val="00307226"/>
    <w:rsid w:val="00312951"/>
    <w:rsid w:val="0034013A"/>
    <w:rsid w:val="003D2366"/>
    <w:rsid w:val="0040713C"/>
    <w:rsid w:val="0043704A"/>
    <w:rsid w:val="00471F5A"/>
    <w:rsid w:val="004A25B1"/>
    <w:rsid w:val="004A3C60"/>
    <w:rsid w:val="004A7A74"/>
    <w:rsid w:val="004F301B"/>
    <w:rsid w:val="00525F15"/>
    <w:rsid w:val="0053025B"/>
    <w:rsid w:val="005314AA"/>
    <w:rsid w:val="00577B88"/>
    <w:rsid w:val="005C6912"/>
    <w:rsid w:val="00602FA2"/>
    <w:rsid w:val="006542CA"/>
    <w:rsid w:val="00671A45"/>
    <w:rsid w:val="006970BE"/>
    <w:rsid w:val="006B75DB"/>
    <w:rsid w:val="006C6A47"/>
    <w:rsid w:val="006D03D5"/>
    <w:rsid w:val="00702C70"/>
    <w:rsid w:val="00735598"/>
    <w:rsid w:val="007453C5"/>
    <w:rsid w:val="00770F5A"/>
    <w:rsid w:val="00771D55"/>
    <w:rsid w:val="00774FEF"/>
    <w:rsid w:val="007C0EB6"/>
    <w:rsid w:val="007C7993"/>
    <w:rsid w:val="007E16E7"/>
    <w:rsid w:val="00846CA0"/>
    <w:rsid w:val="0085495A"/>
    <w:rsid w:val="008603F1"/>
    <w:rsid w:val="00862438"/>
    <w:rsid w:val="008B0F15"/>
    <w:rsid w:val="008C0520"/>
    <w:rsid w:val="008D36C8"/>
    <w:rsid w:val="008F6219"/>
    <w:rsid w:val="008F6AA3"/>
    <w:rsid w:val="00903DDA"/>
    <w:rsid w:val="00910D78"/>
    <w:rsid w:val="00975932"/>
    <w:rsid w:val="009D728E"/>
    <w:rsid w:val="009E7B5B"/>
    <w:rsid w:val="009E7E7B"/>
    <w:rsid w:val="009F3816"/>
    <w:rsid w:val="00A10363"/>
    <w:rsid w:val="00A60B2A"/>
    <w:rsid w:val="00A67875"/>
    <w:rsid w:val="00A9118C"/>
    <w:rsid w:val="00AA153A"/>
    <w:rsid w:val="00AA4A4C"/>
    <w:rsid w:val="00AC4093"/>
    <w:rsid w:val="00AE3E80"/>
    <w:rsid w:val="00AF5884"/>
    <w:rsid w:val="00B147D5"/>
    <w:rsid w:val="00B45D3B"/>
    <w:rsid w:val="00B6662D"/>
    <w:rsid w:val="00B713C8"/>
    <w:rsid w:val="00B802FE"/>
    <w:rsid w:val="00BC6E53"/>
    <w:rsid w:val="00BF4E5F"/>
    <w:rsid w:val="00C07ACD"/>
    <w:rsid w:val="00C41547"/>
    <w:rsid w:val="00C42089"/>
    <w:rsid w:val="00C467E0"/>
    <w:rsid w:val="00C6464E"/>
    <w:rsid w:val="00C8772F"/>
    <w:rsid w:val="00CC6504"/>
    <w:rsid w:val="00CE3B1D"/>
    <w:rsid w:val="00D11992"/>
    <w:rsid w:val="00D17299"/>
    <w:rsid w:val="00D34765"/>
    <w:rsid w:val="00D34AF7"/>
    <w:rsid w:val="00D70F98"/>
    <w:rsid w:val="00D82D24"/>
    <w:rsid w:val="00D83F77"/>
    <w:rsid w:val="00DC348E"/>
    <w:rsid w:val="00E15F9A"/>
    <w:rsid w:val="00E26EF7"/>
    <w:rsid w:val="00E56756"/>
    <w:rsid w:val="00E62F81"/>
    <w:rsid w:val="00E71C49"/>
    <w:rsid w:val="00E7557D"/>
    <w:rsid w:val="00EC4077"/>
    <w:rsid w:val="00EE7185"/>
    <w:rsid w:val="00F07C7C"/>
    <w:rsid w:val="00F21BDE"/>
    <w:rsid w:val="00F26C34"/>
    <w:rsid w:val="00F40FD7"/>
    <w:rsid w:val="00F45530"/>
    <w:rsid w:val="00F57404"/>
    <w:rsid w:val="00F66A80"/>
    <w:rsid w:val="00F74C29"/>
    <w:rsid w:val="00FC1B7A"/>
    <w:rsid w:val="00FF53E7"/>
    <w:rsid w:val="3D391FC1"/>
    <w:rsid w:val="50C666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uiPriority="99" w:name="header"/>
    <w:lsdException w:qFormat="1" w:uiPriority="99"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uto"/>
      <w:jc w:val="both"/>
    </w:pPr>
    <w:rPr>
      <w:rFonts w:ascii="Times New Roman" w:hAnsi="Times New Roman" w:eastAsia="宋体" w:cs="Times New Roman"/>
      <w:kern w:val="2"/>
      <w:sz w:val="24"/>
      <w:szCs w:val="24"/>
      <w:lang w:val="en-US" w:eastAsia="zh-CN" w:bidi="ar-SA"/>
      <w14:ligatures w14:val="none"/>
    </w:rPr>
  </w:style>
  <w:style w:type="paragraph" w:styleId="2">
    <w:name w:val="heading 1"/>
    <w:basedOn w:val="1"/>
    <w:next w:val="1"/>
    <w:link w:val="24"/>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link w:val="25"/>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link w:val="26"/>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link w:val="27"/>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link w:val="28"/>
    <w:semiHidden/>
    <w:unhideWhenUsed/>
    <w:qFormat/>
    <w:uiPriority w:val="9"/>
    <w:pPr>
      <w:keepNext/>
      <w:keepLines/>
      <w:spacing w:before="80" w:after="40"/>
      <w:outlineLvl w:val="4"/>
    </w:pPr>
    <w:rPr>
      <w:rFonts w:cstheme="majorBidi"/>
      <w:color w:val="104862" w:themeColor="accent1" w:themeShade="BF"/>
    </w:rPr>
  </w:style>
  <w:style w:type="paragraph" w:styleId="7">
    <w:name w:val="heading 6"/>
    <w:basedOn w:val="1"/>
    <w:next w:val="1"/>
    <w:link w:val="29"/>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link w:val="30"/>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31"/>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32"/>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21">
    <w:name w:val="Default Paragraph Font"/>
    <w:unhideWhenUsed/>
    <w:qFormat/>
    <w:uiPriority w:val="1"/>
  </w:style>
  <w:style w:type="table" w:default="1" w:styleId="19">
    <w:name w:val="Normal Table"/>
    <w:semiHidden/>
    <w:unhideWhenUsed/>
    <w:uiPriority w:val="99"/>
    <w:tblPr>
      <w:tblCellMar>
        <w:top w:w="0" w:type="dxa"/>
        <w:left w:w="108" w:type="dxa"/>
        <w:bottom w:w="0" w:type="dxa"/>
        <w:right w:w="108" w:type="dxa"/>
      </w:tblCellMar>
    </w:tblPr>
  </w:style>
  <w:style w:type="paragraph" w:styleId="11">
    <w:name w:val="caption"/>
    <w:basedOn w:val="1"/>
    <w:next w:val="1"/>
    <w:unhideWhenUsed/>
    <w:qFormat/>
    <w:uiPriority w:val="35"/>
    <w:rPr>
      <w:rFonts w:eastAsia="黑体" w:asciiTheme="majorHAnsi" w:hAnsiTheme="majorHAnsi" w:cstheme="majorBidi"/>
      <w:sz w:val="20"/>
      <w:szCs w:val="20"/>
    </w:rPr>
  </w:style>
  <w:style w:type="paragraph" w:styleId="12">
    <w:name w:val="annotation text"/>
    <w:basedOn w:val="1"/>
    <w:link w:val="43"/>
    <w:semiHidden/>
    <w:unhideWhenUsed/>
    <w:qFormat/>
    <w:uiPriority w:val="99"/>
    <w:pPr>
      <w:jc w:val="left"/>
    </w:pPr>
  </w:style>
  <w:style w:type="paragraph" w:styleId="13">
    <w:name w:val="Body Text"/>
    <w:basedOn w:val="1"/>
    <w:link w:val="46"/>
    <w:semiHidden/>
    <w:unhideWhenUsed/>
    <w:qFormat/>
    <w:uiPriority w:val="99"/>
    <w:pPr>
      <w:widowControl w:val="0"/>
      <w:spacing w:line="240" w:lineRule="auto"/>
    </w:pPr>
    <w:rPr>
      <w:rFonts w:ascii="Calibri" w:hAnsi="Calibri"/>
      <w:sz w:val="21"/>
      <w:szCs w:val="21"/>
    </w:rPr>
  </w:style>
  <w:style w:type="paragraph" w:styleId="14">
    <w:name w:val="Plain Text"/>
    <w:basedOn w:val="1"/>
    <w:link w:val="50"/>
    <w:unhideWhenUsed/>
    <w:qFormat/>
    <w:uiPriority w:val="99"/>
    <w:pPr>
      <w:widowControl w:val="0"/>
      <w:ind w:firstLine="480" w:firstLineChars="200"/>
    </w:pPr>
    <w:rPr>
      <w:rFonts w:ascii="仿宋_GB2312" w:cs="宋体"/>
      <w:kern w:val="0"/>
    </w:rPr>
  </w:style>
  <w:style w:type="paragraph" w:styleId="15">
    <w:name w:val="footer"/>
    <w:basedOn w:val="1"/>
    <w:link w:val="48"/>
    <w:semiHidden/>
    <w:unhideWhenUsed/>
    <w:qFormat/>
    <w:uiPriority w:val="99"/>
    <w:pPr>
      <w:widowControl w:val="0"/>
      <w:tabs>
        <w:tab w:val="center" w:pos="4153"/>
        <w:tab w:val="right" w:pos="8306"/>
      </w:tabs>
      <w:snapToGrid w:val="0"/>
      <w:spacing w:line="240" w:lineRule="auto"/>
      <w:jc w:val="left"/>
    </w:pPr>
    <w:rPr>
      <w:rFonts w:ascii="Calibri" w:hAnsi="Calibri"/>
      <w:sz w:val="18"/>
      <w:szCs w:val="18"/>
    </w:rPr>
  </w:style>
  <w:style w:type="paragraph" w:styleId="16">
    <w:name w:val="Subtitle"/>
    <w:basedOn w:val="1"/>
    <w:next w:val="1"/>
    <w:link w:val="34"/>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7">
    <w:name w:val="Title"/>
    <w:basedOn w:val="1"/>
    <w:next w:val="1"/>
    <w:link w:val="33"/>
    <w:qFormat/>
    <w:uiPriority w:val="10"/>
    <w:pPr>
      <w:spacing w:after="80"/>
      <w:contextualSpacing/>
      <w:jc w:val="center"/>
    </w:pPr>
    <w:rPr>
      <w:rFonts w:asciiTheme="majorHAnsi" w:hAnsiTheme="majorHAnsi" w:eastAsiaTheme="majorEastAsia" w:cstheme="majorBidi"/>
      <w:spacing w:val="-10"/>
      <w:kern w:val="28"/>
      <w:sz w:val="56"/>
      <w:szCs w:val="56"/>
    </w:rPr>
  </w:style>
  <w:style w:type="paragraph" w:styleId="18">
    <w:name w:val="annotation subject"/>
    <w:basedOn w:val="12"/>
    <w:next w:val="12"/>
    <w:link w:val="44"/>
    <w:semiHidden/>
    <w:unhideWhenUsed/>
    <w:qFormat/>
    <w:uiPriority w:val="99"/>
    <w:rPr>
      <w:b/>
      <w:bCs/>
    </w:rPr>
  </w:style>
  <w:style w:type="table" w:styleId="20">
    <w:name w:val="Table Grid"/>
    <w:basedOn w:val="19"/>
    <w:qFormat/>
    <w:uiPriority w:val="99"/>
    <w:pPr>
      <w:jc w:val="both"/>
    </w:pPr>
    <w:rPr>
      <w:rFonts w:ascii="Times New Roman" w:hAnsi="Times New Roman" w:eastAsia="Times New Roman" w:cs="Times New Roman"/>
      <w:kern w:val="0"/>
      <w:sz w:val="20"/>
      <w:szCs w:val="20"/>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Hyperlink"/>
    <w:basedOn w:val="21"/>
    <w:unhideWhenUsed/>
    <w:qFormat/>
    <w:uiPriority w:val="99"/>
    <w:rPr>
      <w:color w:val="467886" w:themeColor="hyperlink"/>
      <w:u w:val="single"/>
      <w14:textFill>
        <w14:solidFill>
          <w14:schemeClr w14:val="hlink"/>
        </w14:solidFill>
      </w14:textFill>
    </w:rPr>
  </w:style>
  <w:style w:type="character" w:styleId="23">
    <w:name w:val="annotation reference"/>
    <w:basedOn w:val="21"/>
    <w:semiHidden/>
    <w:unhideWhenUsed/>
    <w:uiPriority w:val="99"/>
    <w:rPr>
      <w:sz w:val="21"/>
      <w:szCs w:val="21"/>
    </w:rPr>
  </w:style>
  <w:style w:type="character" w:customStyle="1" w:styleId="24">
    <w:name w:val="标题 1 字符"/>
    <w:basedOn w:val="21"/>
    <w:link w:val="2"/>
    <w:uiPriority w:val="9"/>
    <w:rPr>
      <w:rFonts w:asciiTheme="majorHAnsi" w:hAnsiTheme="majorHAnsi" w:eastAsiaTheme="majorEastAsia" w:cstheme="majorBidi"/>
      <w:color w:val="104862" w:themeColor="accent1" w:themeShade="BF"/>
      <w:sz w:val="48"/>
      <w:szCs w:val="48"/>
    </w:rPr>
  </w:style>
  <w:style w:type="character" w:customStyle="1" w:styleId="25">
    <w:name w:val="标题 2 字符"/>
    <w:basedOn w:val="21"/>
    <w:link w:val="3"/>
    <w:semiHidden/>
    <w:qFormat/>
    <w:uiPriority w:val="9"/>
    <w:rPr>
      <w:rFonts w:asciiTheme="majorHAnsi" w:hAnsiTheme="majorHAnsi" w:eastAsiaTheme="majorEastAsia" w:cstheme="majorBidi"/>
      <w:color w:val="104862" w:themeColor="accent1" w:themeShade="BF"/>
      <w:sz w:val="40"/>
      <w:szCs w:val="40"/>
    </w:rPr>
  </w:style>
  <w:style w:type="character" w:customStyle="1" w:styleId="26">
    <w:name w:val="标题 3 字符"/>
    <w:basedOn w:val="21"/>
    <w:link w:val="4"/>
    <w:semiHidden/>
    <w:qFormat/>
    <w:uiPriority w:val="9"/>
    <w:rPr>
      <w:rFonts w:asciiTheme="majorHAnsi" w:hAnsiTheme="majorHAnsi" w:eastAsiaTheme="majorEastAsia" w:cstheme="majorBidi"/>
      <w:color w:val="104862" w:themeColor="accent1" w:themeShade="BF"/>
      <w:sz w:val="32"/>
      <w:szCs w:val="32"/>
    </w:rPr>
  </w:style>
  <w:style w:type="character" w:customStyle="1" w:styleId="27">
    <w:name w:val="标题 4 字符"/>
    <w:basedOn w:val="21"/>
    <w:link w:val="5"/>
    <w:semiHidden/>
    <w:uiPriority w:val="9"/>
    <w:rPr>
      <w:rFonts w:cstheme="majorBidi"/>
      <w:color w:val="104862" w:themeColor="accent1" w:themeShade="BF"/>
      <w:sz w:val="28"/>
      <w:szCs w:val="28"/>
    </w:rPr>
  </w:style>
  <w:style w:type="character" w:customStyle="1" w:styleId="28">
    <w:name w:val="标题 5 字符"/>
    <w:basedOn w:val="21"/>
    <w:link w:val="6"/>
    <w:semiHidden/>
    <w:uiPriority w:val="9"/>
    <w:rPr>
      <w:rFonts w:cstheme="majorBidi"/>
      <w:color w:val="104862" w:themeColor="accent1" w:themeShade="BF"/>
      <w:sz w:val="24"/>
      <w:szCs w:val="24"/>
    </w:rPr>
  </w:style>
  <w:style w:type="character" w:customStyle="1" w:styleId="29">
    <w:name w:val="标题 6 字符"/>
    <w:basedOn w:val="21"/>
    <w:link w:val="7"/>
    <w:semiHidden/>
    <w:qFormat/>
    <w:uiPriority w:val="9"/>
    <w:rPr>
      <w:rFonts w:cstheme="majorBidi"/>
      <w:b/>
      <w:bCs/>
      <w:color w:val="104862" w:themeColor="accent1" w:themeShade="BF"/>
    </w:rPr>
  </w:style>
  <w:style w:type="character" w:customStyle="1" w:styleId="30">
    <w:name w:val="标题 7 字符"/>
    <w:basedOn w:val="21"/>
    <w:link w:val="8"/>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31">
    <w:name w:val="标题 8 字符"/>
    <w:basedOn w:val="21"/>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32">
    <w:name w:val="标题 9 字符"/>
    <w:basedOn w:val="21"/>
    <w:link w:val="10"/>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33">
    <w:name w:val="标题 字符"/>
    <w:basedOn w:val="21"/>
    <w:link w:val="17"/>
    <w:qFormat/>
    <w:uiPriority w:val="10"/>
    <w:rPr>
      <w:rFonts w:asciiTheme="majorHAnsi" w:hAnsiTheme="majorHAnsi" w:eastAsiaTheme="majorEastAsia" w:cstheme="majorBidi"/>
      <w:spacing w:val="-10"/>
      <w:kern w:val="28"/>
      <w:sz w:val="56"/>
      <w:szCs w:val="56"/>
    </w:rPr>
  </w:style>
  <w:style w:type="character" w:customStyle="1" w:styleId="34">
    <w:name w:val="副标题 字符"/>
    <w:basedOn w:val="21"/>
    <w:link w:val="16"/>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5">
    <w:name w:val="Quote"/>
    <w:basedOn w:val="1"/>
    <w:next w:val="1"/>
    <w:link w:val="36"/>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character" w:customStyle="1" w:styleId="36">
    <w:name w:val="引用 字符"/>
    <w:basedOn w:val="21"/>
    <w:link w:val="35"/>
    <w:qFormat/>
    <w:uiPriority w:val="29"/>
    <w:rPr>
      <w:i/>
      <w:iCs/>
      <w:color w:val="404040" w:themeColor="text1" w:themeTint="BF"/>
      <w14:textFill>
        <w14:solidFill>
          <w14:schemeClr w14:val="tx1">
            <w14:lumMod w14:val="75000"/>
            <w14:lumOff w14:val="25000"/>
          </w14:schemeClr>
        </w14:solidFill>
      </w14:textFill>
    </w:rPr>
  </w:style>
  <w:style w:type="paragraph" w:styleId="37">
    <w:name w:val="List Paragraph"/>
    <w:basedOn w:val="1"/>
    <w:qFormat/>
    <w:uiPriority w:val="34"/>
    <w:pPr>
      <w:ind w:left="720"/>
      <w:contextualSpacing/>
    </w:pPr>
  </w:style>
  <w:style w:type="character" w:customStyle="1" w:styleId="38">
    <w:name w:val="Intense Emphasis"/>
    <w:basedOn w:val="21"/>
    <w:qFormat/>
    <w:uiPriority w:val="21"/>
    <w:rPr>
      <w:i/>
      <w:iCs/>
      <w:color w:val="104862" w:themeColor="accent1" w:themeShade="BF"/>
    </w:rPr>
  </w:style>
  <w:style w:type="paragraph" w:styleId="39">
    <w:name w:val="Intense Quote"/>
    <w:basedOn w:val="1"/>
    <w:next w:val="1"/>
    <w:link w:val="40"/>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character" w:customStyle="1" w:styleId="40">
    <w:name w:val="明显引用 字符"/>
    <w:basedOn w:val="21"/>
    <w:link w:val="39"/>
    <w:qFormat/>
    <w:uiPriority w:val="30"/>
    <w:rPr>
      <w:i/>
      <w:iCs/>
      <w:color w:val="104862" w:themeColor="accent1" w:themeShade="BF"/>
    </w:rPr>
  </w:style>
  <w:style w:type="character" w:customStyle="1" w:styleId="41">
    <w:name w:val="Intense Reference"/>
    <w:basedOn w:val="21"/>
    <w:qFormat/>
    <w:uiPriority w:val="32"/>
    <w:rPr>
      <w:b/>
      <w:bCs/>
      <w:smallCaps/>
      <w:color w:val="104862" w:themeColor="accent1" w:themeShade="BF"/>
      <w:spacing w:val="5"/>
    </w:rPr>
  </w:style>
  <w:style w:type="table" w:customStyle="1" w:styleId="42">
    <w:name w:val="网格型3"/>
    <w:basedOn w:val="19"/>
    <w:qFormat/>
    <w:uiPriority w:val="0"/>
    <w:pPr>
      <w:widowControl w:val="0"/>
      <w:jc w:val="both"/>
    </w:pPr>
    <w:rPr>
      <w:rFonts w:ascii="Times New Roman" w:hAnsi="Times New Roman" w:eastAsia="宋体" w:cs="Times New Roman"/>
      <w:kern w:val="0"/>
      <w:sz w:val="20"/>
      <w:szCs w:val="20"/>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3">
    <w:name w:val="批注文字 字符"/>
    <w:basedOn w:val="21"/>
    <w:link w:val="12"/>
    <w:semiHidden/>
    <w:qFormat/>
    <w:uiPriority w:val="99"/>
    <w:rPr>
      <w:rFonts w:ascii="Times New Roman" w:hAnsi="Times New Roman" w:eastAsia="宋体" w:cs="Times New Roman"/>
      <w:sz w:val="24"/>
      <w:szCs w:val="24"/>
      <w14:ligatures w14:val="none"/>
    </w:rPr>
  </w:style>
  <w:style w:type="character" w:customStyle="1" w:styleId="44">
    <w:name w:val="批注主题 字符"/>
    <w:basedOn w:val="43"/>
    <w:link w:val="18"/>
    <w:semiHidden/>
    <w:qFormat/>
    <w:uiPriority w:val="99"/>
    <w:rPr>
      <w:rFonts w:ascii="Times New Roman" w:hAnsi="Times New Roman" w:eastAsia="宋体" w:cs="Times New Roman"/>
      <w:b/>
      <w:bCs/>
      <w:sz w:val="24"/>
      <w:szCs w:val="24"/>
      <w14:ligatures w14:val="none"/>
    </w:rPr>
  </w:style>
  <w:style w:type="character" w:customStyle="1" w:styleId="45">
    <w:name w:val="Unresolved Mention"/>
    <w:basedOn w:val="21"/>
    <w:semiHidden/>
    <w:unhideWhenUsed/>
    <w:qFormat/>
    <w:uiPriority w:val="99"/>
    <w:rPr>
      <w:color w:val="605E5C"/>
      <w:shd w:val="clear" w:color="auto" w:fill="E1DFDD"/>
    </w:rPr>
  </w:style>
  <w:style w:type="character" w:customStyle="1" w:styleId="46">
    <w:name w:val="正文文本 字符"/>
    <w:basedOn w:val="21"/>
    <w:link w:val="13"/>
    <w:semiHidden/>
    <w:qFormat/>
    <w:uiPriority w:val="99"/>
    <w:rPr>
      <w:rFonts w:ascii="Calibri" w:hAnsi="Calibri" w:eastAsia="宋体" w:cs="Times New Roman"/>
      <w:szCs w:val="21"/>
      <w14:ligatures w14:val="none"/>
    </w:rPr>
  </w:style>
  <w:style w:type="paragraph" w:customStyle="1" w:styleId="47">
    <w:name w:val="msonormal"/>
    <w:basedOn w:val="1"/>
    <w:qFormat/>
    <w:uiPriority w:val="0"/>
    <w:pPr>
      <w:spacing w:before="100" w:beforeAutospacing="1" w:after="100" w:afterAutospacing="1" w:line="240" w:lineRule="auto"/>
      <w:jc w:val="left"/>
    </w:pPr>
    <w:rPr>
      <w:rFonts w:ascii="宋体" w:hAnsi="宋体" w:cs="宋体"/>
      <w:kern w:val="0"/>
    </w:rPr>
  </w:style>
  <w:style w:type="character" w:customStyle="1" w:styleId="48">
    <w:name w:val="页脚 字符"/>
    <w:basedOn w:val="21"/>
    <w:link w:val="15"/>
    <w:semiHidden/>
    <w:qFormat/>
    <w:uiPriority w:val="99"/>
    <w:rPr>
      <w:rFonts w:ascii="Calibri" w:hAnsi="Calibri" w:eastAsia="宋体" w:cs="Times New Roman"/>
      <w:sz w:val="18"/>
      <w:szCs w:val="18"/>
      <w14:ligatures w14:val="none"/>
    </w:rPr>
  </w:style>
  <w:style w:type="table" w:customStyle="1" w:styleId="49">
    <w:name w:val="网格型2"/>
    <w:basedOn w:val="19"/>
    <w:qFormat/>
    <w:uiPriority w:val="0"/>
    <w:rPr>
      <w:rFonts w:ascii="Times New Roman" w:hAnsi="Times New Roman" w:eastAsia="Times New Roman" w:cs="Times New Roman"/>
      <w:kern w:val="0"/>
      <w:sz w:val="20"/>
      <w:szCs w:val="20"/>
      <w14:ligatures w14:val="none"/>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customStyle="1" w:styleId="50">
    <w:name w:val="纯文本 字符"/>
    <w:basedOn w:val="21"/>
    <w:link w:val="14"/>
    <w:qFormat/>
    <w:uiPriority w:val="99"/>
    <w:rPr>
      <w:rFonts w:ascii="仿宋_GB2312" w:hAnsi="Times New Roman" w:eastAsia="宋体" w:cs="宋体"/>
      <w:kern w:val="0"/>
      <w:sz w:val="24"/>
      <w:szCs w:val="24"/>
      <w14:ligatures w14: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numbering" Target="numbering.xml"/><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7B6D18-42BB-4F0A-9994-1900E704DE52}">
  <ds:schemaRefs/>
</ds:datastoreItem>
</file>

<file path=docProps/app.xml><?xml version="1.0" encoding="utf-8"?>
<Properties xmlns="http://schemas.openxmlformats.org/officeDocument/2006/extended-properties" xmlns:vt="http://schemas.openxmlformats.org/officeDocument/2006/docPropsVTypes">
  <Template>Normal</Template>
  <Pages>34</Pages>
  <Words>6485</Words>
  <Characters>8496</Characters>
  <Lines>172</Lines>
  <Paragraphs>48</Paragraphs>
  <TotalTime>4</TotalTime>
  <ScaleCrop>false</ScaleCrop>
  <LinksUpToDate>false</LinksUpToDate>
  <CharactersWithSpaces>8694</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2026-05-21T03:37:00Z</dcterms:created>
  <dc:creator>YT L</dc:creator>
  <cp:lastModifiedBy>lyt</cp:lastModifiedBy>
  <dcterms:modified xsi:type="dcterms:W3CDTF">2026-06-23T03:28:56Z</dcterms:modified>
  <cp:revision>112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eyJoZGlkIjoiZDdhOGMyMDQ4OTI2Y2FmMWJlNzViNTg3MDJlMzVjZTMiLCJ1c2VySWQiOiIxNTI2ODUxNDc5In0=</vt:lpwstr>
  </property>
  <property fmtid="{D5CDD505-2E9C-101B-9397-08002B2CF9AE}" pid="3" name="KSOProductBuildVer">
    <vt:lpwstr>2052-12.1.0.25225</vt:lpwstr>
  </property>
  <property fmtid="{D5CDD505-2E9C-101B-9397-08002B2CF9AE}" pid="4" name="ICV">
    <vt:lpwstr>5912037183F6412EB4BEB2FC645B36B1_12</vt:lpwstr>
  </property>
</Properties>
</file>